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38" w:lineRule="atLeast"/>
        <w:jc w:val="center"/>
        <w:rPr>
          <w:rFonts w:cs="宋体" w:asciiTheme="minorEastAsia" w:hAnsiTheme="minorEastAsia"/>
          <w:kern w:val="0"/>
          <w:sz w:val="30"/>
          <w:szCs w:val="30"/>
        </w:rPr>
      </w:pPr>
    </w:p>
    <w:p>
      <w:pPr>
        <w:widowControl/>
        <w:spacing w:line="638" w:lineRule="atLeast"/>
        <w:jc w:val="center"/>
        <w:rPr>
          <w:rFonts w:cs="宋体" w:asciiTheme="minorEastAsia" w:hAnsiTheme="minorEastAsia"/>
          <w:kern w:val="0"/>
          <w:sz w:val="30"/>
          <w:szCs w:val="30"/>
        </w:rPr>
      </w:pPr>
    </w:p>
    <w:p>
      <w:pPr>
        <w:widowControl/>
        <w:spacing w:line="638" w:lineRule="atLeast"/>
        <w:jc w:val="center"/>
        <w:rPr>
          <w:rFonts w:cs="宋体" w:asciiTheme="minorEastAsia" w:hAnsiTheme="minorEastAsia"/>
          <w:kern w:val="0"/>
          <w:sz w:val="30"/>
          <w:szCs w:val="30"/>
        </w:rPr>
      </w:pPr>
    </w:p>
    <w:p>
      <w:pPr>
        <w:widowControl/>
        <w:spacing w:line="638" w:lineRule="atLeast"/>
        <w:jc w:val="center"/>
        <w:rPr>
          <w:rFonts w:cs="宋体" w:asciiTheme="minorEastAsia" w:hAnsiTheme="minorEastAsia"/>
          <w:kern w:val="0"/>
          <w:sz w:val="30"/>
          <w:szCs w:val="30"/>
        </w:rPr>
      </w:pPr>
    </w:p>
    <w:p>
      <w:pPr>
        <w:widowControl/>
        <w:spacing w:line="638" w:lineRule="atLeast"/>
        <w:jc w:val="center"/>
        <w:rPr>
          <w:rFonts w:hint="eastAsia" w:ascii="方正小标宋_GBK" w:hAnsi="方正小标宋_GBK" w:eastAsia="方正小标宋_GBK" w:cs="方正小标宋_GBK"/>
          <w:b w:val="0"/>
          <w:bCs/>
          <w:kern w:val="0"/>
          <w:sz w:val="62"/>
          <w:szCs w:val="62"/>
        </w:rPr>
      </w:pPr>
      <w:r>
        <w:rPr>
          <w:rFonts w:hint="eastAsia" w:ascii="方正小标宋_GBK" w:hAnsi="方正小标宋_GBK" w:eastAsia="方正小标宋_GBK" w:cs="方正小标宋_GBK"/>
          <w:b w:val="0"/>
          <w:bCs/>
          <w:kern w:val="0"/>
          <w:sz w:val="62"/>
          <w:szCs w:val="62"/>
        </w:rPr>
        <w:t>陕西省渭南工业学校</w:t>
      </w:r>
    </w:p>
    <w:p>
      <w:pPr>
        <w:widowControl/>
        <w:spacing w:line="638" w:lineRule="atLeast"/>
        <w:jc w:val="center"/>
        <w:rPr>
          <w:rFonts w:hint="eastAsia" w:ascii="方正小标宋_GBK" w:hAnsi="方正小标宋_GBK" w:eastAsia="方正小标宋_GBK" w:cs="方正小标宋_GBK"/>
          <w:b w:val="0"/>
          <w:bCs/>
          <w:kern w:val="0"/>
          <w:sz w:val="62"/>
          <w:szCs w:val="62"/>
        </w:rPr>
      </w:pPr>
      <w:r>
        <w:rPr>
          <w:rFonts w:hint="eastAsia" w:ascii="方正小标宋_GBK" w:hAnsi="方正小标宋_GBK" w:eastAsia="方正小标宋_GBK" w:cs="方正小标宋_GBK"/>
          <w:b w:val="0"/>
          <w:bCs/>
          <w:kern w:val="0"/>
          <w:sz w:val="62"/>
          <w:szCs w:val="62"/>
        </w:rPr>
        <w:t>2020年度质量报告</w:t>
      </w: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widowControl/>
        <w:spacing w:line="503" w:lineRule="atLeast"/>
        <w:jc w:val="center"/>
        <w:rPr>
          <w:rFonts w:cs="宋体" w:asciiTheme="minorEastAsia" w:hAnsiTheme="minorEastAsia"/>
          <w:kern w:val="0"/>
          <w:sz w:val="48"/>
          <w:szCs w:val="48"/>
        </w:rPr>
      </w:pPr>
    </w:p>
    <w:p>
      <w:pPr>
        <w:jc w:val="center"/>
        <w:rPr>
          <w:rFonts w:hint="eastAsia" w:ascii="黑体" w:hAnsi="黑体" w:eastAsia="黑体" w:cs="黑体"/>
          <w:b w:val="0"/>
          <w:bCs w:val="0"/>
          <w:kern w:val="0"/>
          <w:sz w:val="44"/>
          <w:szCs w:val="44"/>
        </w:rPr>
      </w:pPr>
      <w:r>
        <w:rPr>
          <w:rFonts w:hint="eastAsia" w:ascii="黑体" w:hAnsi="黑体" w:eastAsia="黑体" w:cs="黑体"/>
          <w:b w:val="0"/>
          <w:bCs w:val="0"/>
          <w:kern w:val="0"/>
          <w:sz w:val="44"/>
          <w:szCs w:val="44"/>
          <w:lang w:val="en-US" w:eastAsia="zh-CN"/>
        </w:rPr>
        <w:t>2020</w:t>
      </w:r>
      <w:r>
        <w:rPr>
          <w:rFonts w:hint="eastAsia" w:ascii="黑体" w:hAnsi="黑体" w:eastAsia="黑体" w:cs="黑体"/>
          <w:b w:val="0"/>
          <w:bCs w:val="0"/>
          <w:kern w:val="0"/>
          <w:sz w:val="44"/>
          <w:szCs w:val="44"/>
        </w:rPr>
        <w:t>年</w:t>
      </w:r>
      <w:r>
        <w:rPr>
          <w:rFonts w:hint="eastAsia" w:ascii="黑体" w:hAnsi="黑体" w:eastAsia="黑体" w:cs="黑体"/>
          <w:b w:val="0"/>
          <w:bCs w:val="0"/>
          <w:kern w:val="0"/>
          <w:sz w:val="44"/>
          <w:szCs w:val="44"/>
          <w:lang w:val="en-US" w:eastAsia="zh-CN"/>
        </w:rPr>
        <w:t>12</w:t>
      </w:r>
      <w:r>
        <w:rPr>
          <w:rFonts w:hint="eastAsia" w:ascii="黑体" w:hAnsi="黑体" w:eastAsia="黑体" w:cs="黑体"/>
          <w:b w:val="0"/>
          <w:bCs w:val="0"/>
          <w:kern w:val="0"/>
          <w:sz w:val="44"/>
          <w:szCs w:val="44"/>
        </w:rPr>
        <w:t>月</w:t>
      </w:r>
    </w:p>
    <w:p>
      <w:pPr>
        <w:jc w:val="center"/>
        <w:rPr>
          <w:rFonts w:cs="宋体" w:asciiTheme="minorEastAsia" w:hAnsiTheme="minorEastAsia"/>
          <w:b/>
          <w:bCs/>
          <w:kern w:val="0"/>
          <w:sz w:val="44"/>
          <w:szCs w:val="44"/>
        </w:rPr>
      </w:pPr>
    </w:p>
    <w:p>
      <w:pPr>
        <w:jc w:val="center"/>
        <w:rPr>
          <w:rFonts w:cs="宋体" w:asciiTheme="minorEastAsia" w:hAnsiTheme="minorEastAsia"/>
          <w:b/>
          <w:bCs/>
          <w:kern w:val="0"/>
          <w:sz w:val="48"/>
          <w:szCs w:val="48"/>
        </w:rPr>
      </w:pPr>
    </w:p>
    <w:p>
      <w:pPr>
        <w:rPr>
          <w:rFonts w:cs="宋体" w:asciiTheme="minorEastAsia" w:hAnsiTheme="minorEastAsia"/>
          <w:b/>
          <w:bCs/>
          <w:kern w:val="0"/>
          <w:sz w:val="30"/>
          <w:szCs w:val="30"/>
        </w:rPr>
      </w:pPr>
      <w:r>
        <w:rPr>
          <w:rFonts w:cs="宋体" w:asciiTheme="minorEastAsia" w:hAnsiTheme="minorEastAsia"/>
          <w:b/>
          <w:bCs/>
          <w:kern w:val="0"/>
          <w:sz w:val="30"/>
          <w:szCs w:val="30"/>
        </w:rPr>
        <w:br w:type="page"/>
      </w:r>
    </w:p>
    <w:p>
      <w:pPr>
        <w:jc w:val="center"/>
        <w:rPr>
          <w:rFonts w:cs="宋体" w:asciiTheme="minorEastAsia" w:hAnsiTheme="minorEastAsia"/>
          <w:b/>
          <w:bCs/>
          <w:kern w:val="0"/>
          <w:sz w:val="30"/>
          <w:szCs w:val="30"/>
        </w:rPr>
        <w:sectPr>
          <w:pgSz w:w="11906" w:h="16838"/>
          <w:pgMar w:top="1440" w:right="1800" w:bottom="1440" w:left="1800" w:header="851" w:footer="992" w:gutter="0"/>
          <w:cols w:space="0" w:num="1"/>
          <w:rtlGutter w:val="0"/>
          <w:docGrid w:type="lines" w:linePitch="312" w:charSpace="0"/>
        </w:sectPr>
      </w:pPr>
    </w:p>
    <w:p>
      <w:pPr>
        <w:jc w:val="center"/>
        <w:rPr>
          <w:rFonts w:cs="宋体" w:asciiTheme="minorEastAsia" w:hAnsiTheme="minorEastAsia"/>
          <w:b/>
          <w:bCs/>
          <w:kern w:val="0"/>
          <w:sz w:val="30"/>
          <w:szCs w:val="30"/>
        </w:rPr>
      </w:pPr>
    </w:p>
    <w:p>
      <w:pPr>
        <w:ind w:firstLine="560" w:firstLineChars="200"/>
        <w:rPr>
          <w:rFonts w:asciiTheme="minorEastAsia" w:hAnsiTheme="minorEastAsia"/>
          <w:sz w:val="28"/>
          <w:szCs w:val="28"/>
        </w:rPr>
      </w:pPr>
      <w:r>
        <w:rPr>
          <w:rFonts w:hint="eastAsia" w:asciiTheme="minorEastAsia" w:hAnsiTheme="minorEastAsia"/>
          <w:sz w:val="28"/>
          <w:szCs w:val="28"/>
        </w:rPr>
        <w:t>按照陕西省教育厅《关于做好2020年中等职业教育质量年度报告编制和发布工作的通知》要求和渭南市教育局《关于做好2020年中等职业教育质量年度报告编制和发布和报送工作的通知》渭职教成【2020】24号文件精神，现将我校2020年度教育质量报告如下：</w:t>
      </w:r>
    </w:p>
    <w:p>
      <w:pPr>
        <w:pStyle w:val="9"/>
        <w:spacing w:beforeAutospacing="0" w:afterAutospacing="0"/>
        <w:ind w:firstLine="562" w:firstLineChars="200"/>
        <w:jc w:val="both"/>
        <w:rPr>
          <w:rFonts w:cs="黑体" w:asciiTheme="minorEastAsia" w:hAnsiTheme="minorEastAsia" w:eastAsiaTheme="minorEastAsia"/>
          <w:b/>
          <w:sz w:val="28"/>
          <w:szCs w:val="28"/>
        </w:rPr>
      </w:pPr>
      <w:r>
        <w:rPr>
          <w:rFonts w:hint="eastAsia" w:cs="黑体" w:asciiTheme="minorEastAsia" w:hAnsiTheme="minorEastAsia" w:eastAsiaTheme="minorEastAsia"/>
          <w:b/>
          <w:sz w:val="28"/>
          <w:szCs w:val="28"/>
        </w:rPr>
        <w:t>1.学校情况</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1.1学校概况</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陕西省渭南工业学校是隶属渭南市人民政府的一所市属全日制普通中等专业学校。先后获得国家级重点中等专业学校、全国职业教育先进单位、陕西省中职学校共青团工作示范学校、省级文明校园、省级平安校园等荣誉。是国家级高技能人才培训基地、国家中等职业教育改革发展示范学校、陕西省机电职业教育集团牵头单位。</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学校位于陕西省渭南市高新区东兴街15号，占地面积141342.42平方米，建筑面积109357平方米，各类教学、实验实习实训仪器设备总价值4482.44万元。截止2020年底，学校固定资产2.75亿元。</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在近40年办学历程中，学校始终坚持“立德树人，技能为先，成才为重”的技能人才培养理念，不断完善服务社会功能，综合实力位居陕西省中等职业学校前列。学校在自主办学的同时，与省内4所示范性高职院校开展“3+2”五年连读合作办学，为学生继续深造提升学历提供了良好的发展空间。</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学校现开设有机电设备安装与维修、数控技术、电子技术应用、电子与信息技术、音乐、机械制造技术、机械加工技术、焊接技术应用、汽车运用与维修、电子商务等专业。</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学校现有教职工417人（其中，在编教职工383人），专任教师248人，其中“双师型”教师占专业课教师比例为43.5%。学校建有3个省内一流的实习实训基地，能够同时满足1500名学生的实习实训需求。</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始终坚持“以服务为宗旨，以就业为导向，以质量求生存，以创新促发展”的办学方针，确立“人无我有，人有我强，人强我精”的办学特色，创新“全员育人，全程育人，全面育人”的育人模式，积极推行“校企合作，产教融合”的人才培养模式和教学模式改革，不断提升技能人才培养质量。</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1.2 学生情况</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1.2.1招生规模</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2020年实际招生人数1865名，较2019年增加13.8 %。</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1.2.2在校生规模与结构</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2020年全日制学历教育在校生人数为3917人，90个教学班，其中2018级学生649人，18个教学班级；2019级学生1367人，32个教学班级；2020级1865人，40个教学班级。学生分布情况：技校1289人，占在校生总数的32.9%；三年制普通中专2628人（含“3+2”五年连读1142人），占在校生总数的67.1%。</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1.2.3毕业生规模及巩固率</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经统计，2020年毕业生676人。其中转段学习239人，升入高职高校128人，就业安置309人。</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1.2.4培训规模</w:t>
      </w:r>
    </w:p>
    <w:p>
      <w:pPr>
        <w:adjustRightIn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本年度，学校承接企业职工培训541人次；承担渭南市财政、卫生、人事系统培训及考试2.2万余人次。</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1.3教师队伍</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目前在编教职工383人，专任教师248人，生师比15.8:1。本科及以上学历234人，现有硕士研究生学历或学位教师51人，其中，“双师型”教师108人；从企业聘请的教师40人，占专任教师的16.0%；专任教师中具有正高级职称教师1人，高级职称教师47人，占专任教师的19.4%；中级职称教师113人，占专任教师的45.6%；初级职称教师</w:t>
      </w:r>
      <w:r>
        <w:rPr>
          <w:rFonts w:hint="eastAsia" w:cs="仿宋_GB2312" w:asciiTheme="minorEastAsia" w:hAnsiTheme="minorEastAsia"/>
          <w:color w:val="000000" w:themeColor="text1"/>
          <w:sz w:val="28"/>
          <w:szCs w:val="28"/>
          <w14:textFill>
            <w14:solidFill>
              <w14:schemeClr w14:val="tx1"/>
            </w14:solidFill>
          </w14:textFill>
        </w:rPr>
        <w:t>64</w:t>
      </w:r>
      <w:r>
        <w:rPr>
          <w:rFonts w:hint="eastAsia" w:cs="仿宋_GB2312" w:asciiTheme="minorEastAsia" w:hAnsiTheme="minorEastAsia"/>
          <w:sz w:val="28"/>
          <w:szCs w:val="28"/>
        </w:rPr>
        <w:t>人，占专任教师的25.8%。</w:t>
      </w:r>
      <w:r>
        <w:rPr>
          <w:rFonts w:cs="仿宋_GB2312" w:asciiTheme="minorEastAsia" w:hAnsiTheme="minorEastAsia"/>
          <w:sz w:val="28"/>
          <w:szCs w:val="28"/>
        </w:rPr>
        <w:t xml:space="preserve"> </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1.4设施设备</w:t>
      </w:r>
    </w:p>
    <w:p>
      <w:pPr>
        <w:ind w:firstLine="560" w:firstLineChars="200"/>
        <w:rPr>
          <w:rFonts w:cs="仿宋_GB2312" w:asciiTheme="minorEastAsia" w:hAnsiTheme="minorEastAsia"/>
          <w:color w:val="FF0000"/>
          <w:sz w:val="28"/>
          <w:szCs w:val="28"/>
        </w:rPr>
      </w:pPr>
      <w:r>
        <w:rPr>
          <w:rFonts w:hint="eastAsia" w:cs="仿宋_GB2312" w:asciiTheme="minorEastAsia" w:hAnsiTheme="minorEastAsia"/>
          <w:sz w:val="28"/>
          <w:szCs w:val="28"/>
        </w:rPr>
        <w:t>学校根据专业实施性教学计划，科学合理地安排实训教学内容与顶岗实习任务，实训教学主要设备分为数控、机械、钳焊、电子、汽修等五个大类型，主要设备有电火花、立式加工中心、牛头刨床、普通车床、普通铣床、数控车床、数控铣床、立铣；单片机控制功能实训考核装置、电子综合实验装置、电子技能设备、维修电工技能实训考核装置；逆变式交／直流方波焊机、逆变式C02气体保护焊机、氩弧焊机、氩弧焊机、焊接机器人；半自动气体保护举升类设备、发动机、变速箱传动、电控、空调、转向装置等各类仪器设备757台/套，校内实训设备总值4482.44(4100)万元，与2019年4100余万元相比增加了9.3%。新增设备主要包括工业机器人设备、新能源汽车类设备、五轴加工中心、三坐标测量机设备、五轴数控软件设备、全国大赛工业机器人赛项设备等。实习实训设备工位数1816个，生均实训实习工位数0.46个。学校现拥有各类纸质图书9.96万册、电子图书4.5万册、各种期刊、报纸百余种；比2019年增加了21.9%。</w:t>
      </w:r>
    </w:p>
    <w:p>
      <w:pPr>
        <w:pStyle w:val="9"/>
        <w:spacing w:beforeAutospacing="0" w:afterAutospacing="0"/>
        <w:ind w:firstLine="562" w:firstLineChars="200"/>
        <w:jc w:val="both"/>
        <w:rPr>
          <w:rFonts w:cs="黑体" w:asciiTheme="minorEastAsia" w:hAnsiTheme="minorEastAsia" w:eastAsiaTheme="minorEastAsia"/>
          <w:b/>
          <w:sz w:val="28"/>
          <w:szCs w:val="28"/>
        </w:rPr>
      </w:pPr>
      <w:r>
        <w:rPr>
          <w:rFonts w:hint="eastAsia" w:cs="黑体" w:asciiTheme="minorEastAsia" w:hAnsiTheme="minorEastAsia" w:eastAsiaTheme="minorEastAsia"/>
          <w:b/>
          <w:sz w:val="28"/>
          <w:szCs w:val="28"/>
        </w:rPr>
        <w:t>2.学生发展</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2.1学生素质</w:t>
      </w:r>
    </w:p>
    <w:p>
      <w:pPr>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2.1.1思想政治状况</w:t>
      </w:r>
    </w:p>
    <w:p>
      <w:pPr>
        <w:ind w:firstLine="560" w:firstLineChars="200"/>
        <w:rPr>
          <w:rFonts w:ascii="宋体" w:hAnsi="宋体" w:cs="仿宋_GB2312"/>
          <w:sz w:val="28"/>
          <w:szCs w:val="28"/>
        </w:rPr>
      </w:pPr>
      <w:r>
        <w:rPr>
          <w:rFonts w:hint="eastAsia" w:ascii="宋体" w:hAnsi="宋体" w:cs="仿宋_GB2312"/>
          <w:sz w:val="28"/>
          <w:szCs w:val="28"/>
        </w:rPr>
        <w:t>学校重视“思政育人</w:t>
      </w:r>
      <w:r>
        <w:rPr>
          <w:rFonts w:ascii="宋体" w:hAnsi="宋体" w:cs="仿宋_GB2312"/>
          <w:sz w:val="28"/>
          <w:szCs w:val="28"/>
        </w:rPr>
        <w:t>”</w:t>
      </w:r>
      <w:r>
        <w:rPr>
          <w:rFonts w:hint="eastAsia" w:ascii="宋体" w:hAnsi="宋体" w:cs="仿宋_GB2312"/>
          <w:sz w:val="28"/>
          <w:szCs w:val="28"/>
        </w:rPr>
        <w:t>，把立德树人融入思想道德教育、文化知识教育、技术技能培养、社会实践等教育各环节；</w:t>
      </w:r>
      <w:r>
        <w:rPr>
          <w:rFonts w:hint="eastAsia" w:cs="仿宋_GB2312" w:asciiTheme="minorEastAsia" w:hAnsiTheme="minorEastAsia"/>
          <w:sz w:val="28"/>
          <w:szCs w:val="28"/>
        </w:rPr>
        <w:t>不断丰富学校政治思想教育工作内容，注意以学生为中心，遵循学生发展和成长的客观规律，把政治思想工作建立在尊重学生的基础上，为学生成长创造一个愉快的“心理运动空间”。学校</w:t>
      </w:r>
      <w:r>
        <w:rPr>
          <w:rFonts w:hint="eastAsia" w:ascii="宋体" w:hAnsi="宋体" w:cs="仿宋_GB2312"/>
          <w:sz w:val="28"/>
          <w:szCs w:val="28"/>
        </w:rPr>
        <w:t>严格按照《中等职业学校思想政治课程标准》要求，开展“思政课程</w:t>
      </w:r>
      <w:r>
        <w:rPr>
          <w:rFonts w:ascii="宋体" w:hAnsi="宋体" w:cs="仿宋_GB2312"/>
          <w:sz w:val="28"/>
          <w:szCs w:val="28"/>
        </w:rPr>
        <w:t>”</w:t>
      </w:r>
      <w:r>
        <w:rPr>
          <w:rFonts w:hint="eastAsia" w:ascii="宋体" w:hAnsi="宋体" w:cs="仿宋_GB2312"/>
          <w:sz w:val="28"/>
          <w:szCs w:val="28"/>
        </w:rPr>
        <w:t>与“课程思政</w:t>
      </w:r>
      <w:r>
        <w:rPr>
          <w:rFonts w:ascii="宋体" w:hAnsi="宋体" w:cs="仿宋_GB2312"/>
          <w:sz w:val="28"/>
          <w:szCs w:val="28"/>
        </w:rPr>
        <w:t>”</w:t>
      </w:r>
      <w:r>
        <w:rPr>
          <w:rFonts w:hint="eastAsia" w:ascii="宋体" w:hAnsi="宋体" w:cs="仿宋_GB2312"/>
          <w:sz w:val="28"/>
          <w:szCs w:val="28"/>
        </w:rPr>
        <w:t>教育,推动思想政治工作贯穿教学全过程，</w:t>
      </w:r>
      <w:r>
        <w:rPr>
          <w:rFonts w:hint="eastAsia" w:cs="仿宋_GB2312" w:asciiTheme="minorEastAsia" w:hAnsiTheme="minorEastAsia"/>
          <w:sz w:val="28"/>
          <w:szCs w:val="28"/>
        </w:rPr>
        <w:t>把政治思想教育与学生的全面发展统一起来、把政治思想教育与培养学生健康人格统一起来，把政治思想教育与学生的个性培养统一起来，把政治思想教育与人文精神的培养统一起来，</w:t>
      </w:r>
      <w:r>
        <w:rPr>
          <w:rFonts w:hint="eastAsia" w:ascii="宋体" w:hAnsi="宋体" w:cs="仿宋_GB2312"/>
          <w:sz w:val="28"/>
          <w:szCs w:val="28"/>
        </w:rPr>
        <w:t>以培育学生的政治认同、职业精神、法制意识、健全人格、公共参与等核心素养,教育效果良好。</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学校通过“爱国主义主题演讲”、“</w:t>
      </w:r>
      <w:r>
        <w:rPr>
          <w:rFonts w:cs="仿宋_GB2312" w:asciiTheme="minorEastAsia" w:hAnsiTheme="minorEastAsia"/>
          <w:sz w:val="28"/>
          <w:szCs w:val="28"/>
        </w:rPr>
        <w:t>雷锋日</w:t>
      </w:r>
      <w:r>
        <w:rPr>
          <w:rFonts w:hint="eastAsia" w:cs="仿宋_GB2312" w:asciiTheme="minorEastAsia" w:hAnsiTheme="minorEastAsia"/>
          <w:sz w:val="28"/>
          <w:szCs w:val="28"/>
        </w:rPr>
        <w:t>”、“业余党课”、 “主题班会”等多种形式的教育活动，培养学生高尚的爱国主义情操、民族气节、道德文明和合作精神，帮助学生树立崇高的人生理念，激发其奋发有为的进取精神。爱国思想的确立，对学生正确的世界观、人生观和价值观的形成起到了至关重要的作用，使学生的政治思想道德素质都有不同程度的提高，增强了学生的社会责任感、义务感；学生学习目的明确、态度端正，安全、环保意识增强；能客观认识自我、评价他人，自信、自律，能在符合集体要求的前提下发展自己的个性。较2019年思想政治教育活动形式更加丰富，思想政治教育的亲和力明显提高。通过多种形式的培养教育，学生总体</w:t>
      </w:r>
      <w:r>
        <w:rPr>
          <w:rFonts w:cs="仿宋_GB2312" w:asciiTheme="minorEastAsia" w:hAnsiTheme="minorEastAsia"/>
          <w:sz w:val="28"/>
          <w:szCs w:val="28"/>
        </w:rPr>
        <w:t>表现出阳光、自信、纯洁、追求上进的良好品质。</w:t>
      </w:r>
    </w:p>
    <w:p>
      <w:pPr>
        <w:pStyle w:val="9"/>
        <w:spacing w:beforeAutospacing="0" w:afterAutospacing="0"/>
        <w:ind w:firstLine="562" w:firstLineChars="200"/>
        <w:jc w:val="both"/>
        <w:rPr>
          <w:rFonts w:cs="仿宋_GB2312" w:asciiTheme="minorEastAsia" w:hAnsiTheme="minorEastAsia" w:eastAsiaTheme="minorEastAsia"/>
          <w:sz w:val="28"/>
          <w:szCs w:val="28"/>
        </w:rPr>
      </w:pPr>
      <w:r>
        <w:rPr>
          <w:rFonts w:hint="eastAsia" w:cs="仿宋_GB2312" w:asciiTheme="minorEastAsia" w:hAnsiTheme="minorEastAsia" w:eastAsiaTheme="minorEastAsia"/>
          <w:b/>
          <w:sz w:val="28"/>
          <w:szCs w:val="28"/>
        </w:rPr>
        <w:t>2.1.2文化课合格率</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sz w:val="28"/>
          <w:szCs w:val="28"/>
        </w:rPr>
        <w:t>2020年，学校根据《教育部关于职业院校专业人才培养方案制订与实施工作的指导意见》（教职成〔2020〕13号）要求，开足上好《思想政治》、《语文》、《历史》、《数学》、《外语》（英语等）、《信息技术》、《体育与健康》、《艺术》等公共基础必修课程，公共基础必修课程成绩合格率达到</w:t>
      </w:r>
      <w:r>
        <w:rPr>
          <w:rFonts w:hint="eastAsia" w:cs="仿宋_GB2312" w:asciiTheme="minorEastAsia" w:hAnsiTheme="minorEastAsia"/>
          <w:color w:val="000000" w:themeColor="text1"/>
          <w:sz w:val="28"/>
          <w:szCs w:val="28"/>
          <w14:textFill>
            <w14:solidFill>
              <w14:schemeClr w14:val="tx1"/>
            </w14:solidFill>
          </w14:textFill>
        </w:rPr>
        <w:t>83.7%以上;较2019年公共基础必修课程成绩合格率提高0.1%。按照市教育局工作安排，</w:t>
      </w:r>
      <w:r>
        <w:rPr>
          <w:rFonts w:hint="eastAsia"/>
          <w:color w:val="000000" w:themeColor="text1"/>
          <w:sz w:val="28"/>
          <w:szCs w:val="28"/>
          <w14:textFill>
            <w14:solidFill>
              <w14:schemeClr w14:val="tx1"/>
            </w14:solidFill>
          </w14:textFill>
        </w:rPr>
        <w:t>我校于2020年7月</w:t>
      </w:r>
      <w:r>
        <w:rPr>
          <w:rFonts w:hint="eastAsia" w:cs="仿宋_GB2312" w:asciiTheme="minorEastAsia" w:hAnsiTheme="minorEastAsia"/>
          <w:color w:val="000000" w:themeColor="text1"/>
          <w:sz w:val="28"/>
          <w:szCs w:val="28"/>
          <w14:textFill>
            <w14:solidFill>
              <w14:schemeClr w14:val="tx1"/>
            </w14:solidFill>
          </w14:textFill>
        </w:rPr>
        <w:t>组织2019级中专数控、机电、电信、音乐4个专业13个教学班，共计559名学生参加了</w:t>
      </w:r>
      <w:r>
        <w:rPr>
          <w:rFonts w:hint="eastAsia"/>
          <w:color w:val="000000" w:themeColor="text1"/>
          <w:sz w:val="28"/>
          <w:szCs w:val="28"/>
          <w14:textFill>
            <w14:solidFill>
              <w14:schemeClr w14:val="tx1"/>
            </w14:solidFill>
          </w14:textFill>
        </w:rPr>
        <w:t>渭</w:t>
      </w:r>
      <w:r>
        <w:rPr>
          <w:rFonts w:hint="eastAsia"/>
          <w:sz w:val="28"/>
          <w:szCs w:val="28"/>
        </w:rPr>
        <w:t>南市2020年中职学校质量检测统一考试（文化课教学质量检</w:t>
      </w:r>
      <w:r>
        <w:rPr>
          <w:rFonts w:hint="eastAsia"/>
          <w:color w:val="000000" w:themeColor="text1"/>
          <w:sz w:val="28"/>
          <w:szCs w:val="28"/>
          <w14:textFill>
            <w14:solidFill>
              <w14:schemeClr w14:val="tx1"/>
            </w14:solidFill>
          </w14:textFill>
        </w:rPr>
        <w:t>测）</w:t>
      </w:r>
      <w:r>
        <w:rPr>
          <w:rFonts w:hint="eastAsia" w:cs="仿宋_GB2312" w:asciiTheme="minorEastAsia" w:hAnsiTheme="minorEastAsia"/>
          <w:color w:val="000000" w:themeColor="text1"/>
          <w:sz w:val="28"/>
          <w:szCs w:val="28"/>
          <w14:textFill>
            <w14:solidFill>
              <w14:schemeClr w14:val="tx1"/>
            </w14:solidFill>
          </w14:textFill>
        </w:rPr>
        <w:t>，其中语文、数学、英语、政史合格率平均为73.3%。</w:t>
      </w:r>
    </w:p>
    <w:p>
      <w:pPr>
        <w:pStyle w:val="9"/>
        <w:spacing w:beforeAutospacing="0" w:afterAutospacing="0"/>
        <w:ind w:firstLine="562" w:firstLineChars="200"/>
        <w:jc w:val="both"/>
        <w:rPr>
          <w:rFonts w:cs="仿宋_GB2312" w:asciiTheme="minorEastAsia" w:hAnsiTheme="minorEastAsia" w:eastAsiaTheme="minorEastAsia"/>
          <w:b/>
          <w:kern w:val="2"/>
          <w:sz w:val="28"/>
          <w:szCs w:val="28"/>
        </w:rPr>
      </w:pPr>
      <w:r>
        <w:rPr>
          <w:rFonts w:hint="eastAsia" w:cs="仿宋_GB2312" w:asciiTheme="minorEastAsia" w:hAnsiTheme="minorEastAsia" w:eastAsiaTheme="minorEastAsia"/>
          <w:b/>
          <w:kern w:val="2"/>
          <w:sz w:val="28"/>
          <w:szCs w:val="28"/>
        </w:rPr>
        <w:t>2.1.3专业技能合格率</w:t>
      </w:r>
    </w:p>
    <w:p>
      <w:pPr>
        <w:spacing w:line="360" w:lineRule="auto"/>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sz w:val="28"/>
          <w:szCs w:val="28"/>
        </w:rPr>
        <w:t>学校根据《教育部关于职业院校专业人才培养方案制订与实施工作的指导意见》（教职成〔2020〕13号）要求，</w:t>
      </w:r>
      <w:r>
        <w:rPr>
          <w:rFonts w:cs="仿宋_GB2312" w:asciiTheme="minorEastAsia" w:hAnsiTheme="minorEastAsia"/>
          <w:sz w:val="28"/>
          <w:szCs w:val="28"/>
        </w:rPr>
        <w:t>专业设置与培养目标相适应，课程内容</w:t>
      </w:r>
      <w:r>
        <w:rPr>
          <w:rFonts w:hint="eastAsia" w:cs="仿宋_GB2312" w:asciiTheme="minorEastAsia" w:hAnsiTheme="minorEastAsia"/>
          <w:sz w:val="28"/>
          <w:szCs w:val="28"/>
        </w:rPr>
        <w:t>与合作行业企业的</w:t>
      </w:r>
      <w:r>
        <w:rPr>
          <w:rFonts w:cs="仿宋_GB2312" w:asciiTheme="minorEastAsia" w:hAnsiTheme="minorEastAsia"/>
          <w:sz w:val="28"/>
          <w:szCs w:val="28"/>
        </w:rPr>
        <w:t>生产劳动实际和社会实践</w:t>
      </w:r>
      <w:r>
        <w:rPr>
          <w:rFonts w:hint="eastAsia" w:cs="仿宋_GB2312" w:asciiTheme="minorEastAsia" w:hAnsiTheme="minorEastAsia"/>
          <w:sz w:val="28"/>
          <w:szCs w:val="28"/>
        </w:rPr>
        <w:t>紧密结合</w:t>
      </w:r>
      <w:r>
        <w:rPr>
          <w:rFonts w:cs="仿宋_GB2312" w:asciiTheme="minorEastAsia" w:hAnsiTheme="minorEastAsia"/>
          <w:sz w:val="28"/>
          <w:szCs w:val="28"/>
        </w:rPr>
        <w:t>，</w:t>
      </w:r>
      <w:r>
        <w:rPr>
          <w:rFonts w:hint="eastAsia" w:cs="仿宋_GB2312" w:asciiTheme="minorEastAsia" w:hAnsiTheme="minorEastAsia"/>
          <w:sz w:val="28"/>
          <w:szCs w:val="28"/>
        </w:rPr>
        <w:t>将职业技能等级标准有关内容及要求有机融入专业课程教学，优化专业人才培养方案，</w:t>
      </w:r>
      <w:r>
        <w:rPr>
          <w:rFonts w:cs="仿宋_GB2312" w:asciiTheme="minorEastAsia" w:hAnsiTheme="minorEastAsia"/>
          <w:sz w:val="28"/>
          <w:szCs w:val="28"/>
        </w:rPr>
        <w:t>突出</w:t>
      </w:r>
      <w:r>
        <w:rPr>
          <w:rFonts w:hint="eastAsia" w:cs="仿宋_GB2312" w:asciiTheme="minorEastAsia" w:hAnsiTheme="minorEastAsia"/>
          <w:sz w:val="28"/>
          <w:szCs w:val="28"/>
        </w:rPr>
        <w:t>教育教学的</w:t>
      </w:r>
      <w:r>
        <w:rPr>
          <w:rFonts w:cs="仿宋_GB2312" w:asciiTheme="minorEastAsia" w:hAnsiTheme="minorEastAsia"/>
          <w:sz w:val="28"/>
          <w:szCs w:val="28"/>
        </w:rPr>
        <w:t>应用性和实践性，注重学生职业能力和职业精神的培养</w:t>
      </w:r>
      <w:r>
        <w:rPr>
          <w:rFonts w:hint="eastAsia" w:cs="仿宋_GB2312" w:asciiTheme="minorEastAsia" w:hAnsiTheme="minorEastAsia"/>
          <w:sz w:val="28"/>
          <w:szCs w:val="28"/>
        </w:rPr>
        <w:t>，积极践行1+X证书制度，学生通过3年的专业课程学习和职业技能训练，专业技能均有显著提高。</w:t>
      </w:r>
      <w:r>
        <w:rPr>
          <w:rFonts w:hint="eastAsia" w:cs="仿宋_GB2312" w:asciiTheme="minorEastAsia" w:hAnsiTheme="minorEastAsia"/>
          <w:color w:val="000000" w:themeColor="text1"/>
          <w:sz w:val="28"/>
          <w:szCs w:val="28"/>
          <w14:textFill>
            <w14:solidFill>
              <w14:schemeClr w14:val="tx1"/>
            </w14:solidFill>
          </w14:textFill>
        </w:rPr>
        <w:t>按照市教育局工作安排，</w:t>
      </w:r>
      <w:r>
        <w:rPr>
          <w:rFonts w:hint="eastAsia"/>
          <w:color w:val="000000" w:themeColor="text1"/>
          <w:sz w:val="28"/>
          <w:szCs w:val="28"/>
          <w14:textFill>
            <w14:solidFill>
              <w14:schemeClr w14:val="tx1"/>
            </w14:solidFill>
          </w14:textFill>
        </w:rPr>
        <w:t>我校于2020年</w:t>
      </w:r>
      <w:r>
        <w:rPr>
          <w:rFonts w:hint="eastAsia" w:asciiTheme="minorEastAsia" w:hAnsiTheme="minorEastAsia"/>
          <w:sz w:val="28"/>
          <w:szCs w:val="28"/>
        </w:rPr>
        <w:t>12月16日——18日组织2019级四个专业进行了专业技能检测，</w:t>
      </w:r>
      <w:r>
        <w:rPr>
          <w:rFonts w:hint="eastAsia" w:cs="仿宋_GB2312" w:asciiTheme="minorEastAsia" w:hAnsiTheme="minorEastAsia"/>
          <w:color w:val="000000" w:themeColor="text1"/>
          <w:sz w:val="28"/>
          <w:szCs w:val="28"/>
          <w14:textFill>
            <w14:solidFill>
              <w14:schemeClr w14:val="tx1"/>
            </w14:solidFill>
          </w14:textFill>
        </w:rPr>
        <w:t>数控、机电、电信、音乐4个专业技能检测成绩合格率平均为90.5%。</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2.1.4体质测评合格率</w:t>
      </w:r>
    </w:p>
    <w:p>
      <w:pPr>
        <w:ind w:firstLine="560" w:firstLineChars="200"/>
        <w:rPr>
          <w:rFonts w:cs="仿宋_GB2312" w:asciiTheme="minorEastAsia" w:hAnsiTheme="minorEastAsia"/>
          <w:color w:val="FF0000"/>
          <w:sz w:val="28"/>
          <w:szCs w:val="28"/>
        </w:rPr>
      </w:pPr>
      <w:r>
        <w:rPr>
          <w:rFonts w:hint="eastAsia" w:cs="仿宋_GB2312" w:asciiTheme="minorEastAsia" w:hAnsiTheme="minorEastAsia"/>
          <w:sz w:val="28"/>
          <w:szCs w:val="28"/>
        </w:rPr>
        <w:t>学校重视体育教学，严格执行上级有关文件精神，要求学生掌握必要的体育健康知识和体育技能，经常组织学生参加体育活动，结合所学专业特点，锻炼学生身体素质。另外，还积极开展丰富多彩的体育比赛活动。严格按照《国家学生体质健康标准》组织教学。2020年，学生体质测评应测4150人，实际测试学生人数4072人（其中专 2463人，技校 1609人），78人因身体原因未参加测试。测试上报中专学生中合格率92.8%（其中优秀2%，、良好27%、及格63.8%）。</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2.1.5毕业率</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w:t>
      </w:r>
      <w:r>
        <w:rPr>
          <w:rFonts w:cs="仿宋_GB2312" w:asciiTheme="minorEastAsia" w:hAnsiTheme="minorEastAsia"/>
          <w:sz w:val="28"/>
          <w:szCs w:val="28"/>
        </w:rPr>
        <w:t>根据国家有关规定、专业培养目标和培养规格，明确学生毕业要求</w:t>
      </w:r>
      <w:r>
        <w:rPr>
          <w:rFonts w:hint="eastAsia" w:cs="仿宋_GB2312" w:asciiTheme="minorEastAsia" w:hAnsiTheme="minorEastAsia"/>
          <w:sz w:val="28"/>
          <w:szCs w:val="28"/>
        </w:rPr>
        <w:t>，</w:t>
      </w:r>
      <w:r>
        <w:rPr>
          <w:rFonts w:cs="仿宋_GB2312" w:asciiTheme="minorEastAsia" w:hAnsiTheme="minorEastAsia"/>
          <w:sz w:val="28"/>
          <w:szCs w:val="28"/>
        </w:rPr>
        <w:t>严把毕业出口关，确保学生毕业时完成规定的学时学分和教学环节</w:t>
      </w:r>
      <w:r>
        <w:rPr>
          <w:rFonts w:hint="eastAsia" w:cs="仿宋_GB2312" w:asciiTheme="minorEastAsia" w:hAnsiTheme="minorEastAsia"/>
          <w:sz w:val="28"/>
          <w:szCs w:val="28"/>
        </w:rPr>
        <w:t>。</w:t>
      </w:r>
      <w:r>
        <w:rPr>
          <w:rFonts w:cs="仿宋_GB2312" w:asciiTheme="minorEastAsia" w:hAnsiTheme="minorEastAsia"/>
          <w:sz w:val="28"/>
          <w:szCs w:val="28"/>
        </w:rPr>
        <w:t>严格毕业要求</w:t>
      </w:r>
      <w:r>
        <w:rPr>
          <w:rFonts w:hint="eastAsia" w:cs="仿宋_GB2312" w:asciiTheme="minorEastAsia" w:hAnsiTheme="minorEastAsia"/>
          <w:sz w:val="28"/>
          <w:szCs w:val="28"/>
        </w:rPr>
        <w:t>，</w:t>
      </w:r>
      <w:r>
        <w:rPr>
          <w:rFonts w:cs="仿宋_GB2312" w:asciiTheme="minorEastAsia" w:hAnsiTheme="minorEastAsia"/>
          <w:sz w:val="28"/>
          <w:szCs w:val="28"/>
        </w:rPr>
        <w:t>保证毕业要求的达成度</w:t>
      </w:r>
      <w:r>
        <w:rPr>
          <w:rFonts w:hint="eastAsia" w:cs="仿宋_GB2312" w:asciiTheme="minorEastAsia" w:hAnsiTheme="minorEastAsia"/>
          <w:sz w:val="28"/>
          <w:szCs w:val="28"/>
        </w:rPr>
        <w:t>。2020年毕业生数与入学报到人数相比较，毕业率为84.4%；较2019年毕业率提高0.9%。</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2.1.6职业大赛获奖情况</w:t>
      </w:r>
    </w:p>
    <w:p>
      <w:pPr>
        <w:widowControl/>
        <w:ind w:firstLine="560" w:firstLineChars="200"/>
        <w:textAlignment w:val="center"/>
        <w:rPr>
          <w:rFonts w:cs="仿宋_GB2312" w:asciiTheme="minorEastAsia" w:hAnsiTheme="minorEastAsia"/>
          <w:sz w:val="28"/>
          <w:szCs w:val="28"/>
        </w:rPr>
      </w:pPr>
      <w:r>
        <w:rPr>
          <w:rFonts w:hint="eastAsia" w:cs="仿宋_GB2312" w:asciiTheme="minorEastAsia" w:hAnsiTheme="minorEastAsia"/>
          <w:sz w:val="28"/>
          <w:szCs w:val="28"/>
        </w:rPr>
        <w:t>2020年，我校学生在各项技能竞赛中取得了优异成绩。在第一届全国技能大赛陕西省选拔赛中，我校学生获得数控车一等奖2名、数控车加工技术二等奖1名、信息网络布线一等奖2名、信息网络布线二等奖1名、电子技术三等奖3名、CAD机械设计三等奖2名、物联网技术三等奖1名。</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在2020年中职技能大赛中，我校学生获得工业产品设计与创客实践二等奖1名、工业产品设计与创客实践三等奖1名、幼儿园活动技能三等奖1名、护理技能三等奖2名、职业英语技能大赛三等奖1名、汽车营销礼仪三等奖1名、液压与气动系统装调与维护三等奖1名、物联网技术应用与维护三等奖3名、车加工技术三等奖2名、汽车钣金三等奖1名、网络布线三等奖3名。</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2.2在校体验</w:t>
      </w:r>
    </w:p>
    <w:p>
      <w:pPr>
        <w:pStyle w:val="9"/>
        <w:spacing w:beforeAutospacing="0" w:afterAutospacing="0"/>
        <w:ind w:firstLine="540" w:firstLineChars="200"/>
        <w:jc w:val="both"/>
        <w:rPr>
          <w:rFonts w:hint="eastAsia"/>
          <w:color w:val="000000"/>
          <w:sz w:val="27"/>
          <w:szCs w:val="27"/>
        </w:rPr>
      </w:pPr>
      <w:r>
        <w:rPr>
          <w:rFonts w:hint="eastAsia"/>
          <w:color w:val="000000"/>
          <w:sz w:val="27"/>
          <w:szCs w:val="27"/>
        </w:rPr>
        <w:t>学校注重校园文化建设和学生的职业素质教育及文化积累，从激发学生的学习兴趣、增强学生的学习信心，丰富学生的课余生活等方面来强化学生的学习生活体验，学生对学校的认同感和归属感不断提升，其中学生理论学习满意度97.3%、专业学习满意度98.1%、实习实训满意度98.3%、校园文化与社团活动满意度97.6%、生活满意度98.2%、校园安全满意度98.6%。</w:t>
      </w:r>
    </w:p>
    <w:p>
      <w:pPr>
        <w:pStyle w:val="9"/>
        <w:spacing w:beforeAutospacing="0" w:afterAutospacing="0"/>
        <w:ind w:firstLine="540" w:firstLineChars="200"/>
        <w:jc w:val="both"/>
        <w:rPr>
          <w:rFonts w:hint="eastAsia"/>
          <w:color w:val="000000"/>
          <w:sz w:val="27"/>
          <w:szCs w:val="27"/>
        </w:rPr>
      </w:pPr>
      <w:r>
        <w:rPr>
          <w:rFonts w:hint="eastAsia"/>
          <w:color w:val="000000"/>
          <w:sz w:val="27"/>
          <w:szCs w:val="27"/>
        </w:rPr>
        <w:t>学校重视学生的职业发展，</w:t>
      </w:r>
      <w:r>
        <w:rPr>
          <w:rFonts w:hint="eastAsia" w:cs="仿宋_GB2312" w:asciiTheme="minorEastAsia" w:hAnsiTheme="minorEastAsia" w:eastAsiaTheme="minorEastAsia"/>
          <w:kern w:val="2"/>
          <w:sz w:val="28"/>
          <w:szCs w:val="28"/>
        </w:rPr>
        <w:t>在教学计划中加入职业发展及创新创业教育，提升学生的职业发展知识水平和锻炼机会，并坚持对毕业生的就业情况进行跟踪调研，毕业生对学校的满意度为98.4%。</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2.3资助情况</w:t>
      </w:r>
    </w:p>
    <w:p>
      <w:pPr>
        <w:pStyle w:val="9"/>
        <w:spacing w:beforeAutospacing="0" w:afterAutospacing="0"/>
        <w:ind w:firstLine="560" w:firstLineChars="200"/>
        <w:jc w:val="both"/>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国家大力发展职业教育，实行了对中职学生学费的减免政策。具体政策为：凡符合国家精准扶贫政策的学生，除享受国家教育每年的2000元资助卡外，每人再一次性给予3000元扶贫助学补助。针对农村户籍的中职学生免除全部学费，在国家给予资助的基础上，学校又对持精准扶贫卡的贫困县学生再次免除了住宿费、取暖费和教材费等费用。对城市经济困难的学生免除学费（城市家庭经济困难学生数，按在校城市学生的20%确定）；20%的在校学生可享受每年2000元的国家助学金。2020年，</w:t>
      </w:r>
      <w:r>
        <w:rPr>
          <w:rFonts w:hint="eastAsia" w:cs="仿宋_GB2312" w:asciiTheme="minorEastAsia" w:hAnsiTheme="minorEastAsia" w:eastAsiaTheme="minorEastAsia"/>
          <w:color w:val="000000" w:themeColor="text1"/>
          <w:kern w:val="2"/>
          <w:sz w:val="28"/>
          <w:szCs w:val="28"/>
          <w14:textFill>
            <w14:solidFill>
              <w14:schemeClr w14:val="tx1"/>
            </w14:solidFill>
          </w14:textFill>
        </w:rPr>
        <w:t>我校5名学生荣获中等职业教育国家奖学金，奖励标准为每人6000元。</w:t>
      </w:r>
      <w:r>
        <w:rPr>
          <w:rFonts w:hint="eastAsia" w:cs="仿宋_GB2312" w:asciiTheme="minorEastAsia" w:hAnsiTheme="minorEastAsia" w:eastAsiaTheme="minorEastAsia"/>
          <w:color w:val="000000" w:themeColor="text1"/>
          <w:sz w:val="28"/>
          <w:szCs w:val="28"/>
          <w14:textFill>
            <w14:solidFill>
              <w14:schemeClr w14:val="tx1"/>
            </w14:solidFill>
          </w14:textFill>
        </w:rPr>
        <w:t>另外，学校为</w:t>
      </w:r>
      <w:r>
        <w:rPr>
          <w:rFonts w:hint="eastAsia" w:cs="仿宋_GB2312" w:asciiTheme="minorEastAsia" w:hAnsiTheme="minorEastAsia" w:eastAsiaTheme="minorEastAsia"/>
          <w:sz w:val="28"/>
          <w:szCs w:val="28"/>
        </w:rPr>
        <w:t>所有参加顶岗实习的学生全部办理了意外伤害险，消除学校、合作企业、家长的后顾之忧，解决实习期间意外伤害事故可能引发的各种矛盾，维护顶岗实习教学的正常秩序。</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2.4就业质量</w:t>
      </w:r>
    </w:p>
    <w:p>
      <w:pPr>
        <w:pStyle w:val="9"/>
        <w:spacing w:beforeAutospacing="0" w:afterAutospacing="0"/>
        <w:ind w:firstLine="560" w:firstLineChars="200"/>
        <w:jc w:val="both"/>
        <w:rPr>
          <w:rFonts w:cs="仿宋_GB2312" w:asciiTheme="minorEastAsia" w:hAnsiTheme="minorEastAsia" w:eastAsiaTheme="minorEastAsia"/>
          <w:color w:val="FF0000"/>
          <w:kern w:val="2"/>
          <w:sz w:val="28"/>
          <w:szCs w:val="28"/>
        </w:rPr>
      </w:pPr>
      <w:r>
        <w:rPr>
          <w:rFonts w:hint="eastAsia" w:cs="仿宋_GB2312" w:asciiTheme="minorEastAsia" w:hAnsiTheme="minorEastAsia" w:eastAsiaTheme="minorEastAsia"/>
          <w:kern w:val="2"/>
          <w:sz w:val="28"/>
          <w:szCs w:val="28"/>
        </w:rPr>
        <w:t>截止2020年底统计显示，各专业就业情况呈局部上升趋势，主要以“3+2”五年转段学习和“3+3”高职单招考试为主。2020年以来，转段学习239人，参加高职单招考试录取人128人，就业309人。就业学生中专业对口率为</w:t>
      </w:r>
      <w:r>
        <w:rPr>
          <w:rFonts w:hint="eastAsia" w:cs="仿宋_GB2312" w:asciiTheme="minorEastAsia" w:hAnsiTheme="minorEastAsia" w:eastAsiaTheme="minorEastAsia"/>
          <w:color w:val="000000" w:themeColor="text1"/>
          <w:kern w:val="2"/>
          <w:sz w:val="28"/>
          <w:szCs w:val="28"/>
          <w14:textFill>
            <w14:solidFill>
              <w14:schemeClr w14:val="tx1"/>
            </w14:solidFill>
          </w14:textFill>
        </w:rPr>
        <w:t>98%。学生在</w:t>
      </w:r>
      <w:r>
        <w:rPr>
          <w:rFonts w:hint="eastAsia" w:cs="仿宋_GB2312" w:asciiTheme="minorEastAsia" w:hAnsiTheme="minorEastAsia" w:eastAsiaTheme="minorEastAsia"/>
          <w:kern w:val="2"/>
          <w:sz w:val="28"/>
          <w:szCs w:val="28"/>
        </w:rPr>
        <w:t>省内初次就业收入为</w:t>
      </w:r>
      <w:r>
        <w:rPr>
          <w:rFonts w:hint="eastAsia" w:ascii="宋体" w:hAnsi="宋体" w:cs="宋体"/>
          <w:sz w:val="28"/>
          <w:szCs w:val="28"/>
        </w:rPr>
        <w:t>3000-4500元/月，省外初次收入为3500-5500元/月。</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2.5职业发展</w:t>
      </w:r>
    </w:p>
    <w:p>
      <w:pPr>
        <w:pStyle w:val="9"/>
        <w:spacing w:beforeAutospacing="0" w:afterAutospacing="0"/>
        <w:ind w:firstLine="560" w:firstLineChars="200"/>
        <w:jc w:val="both"/>
        <w:rPr>
          <w:rFonts w:cs="仿宋_GB2312" w:asciiTheme="minorEastAsia" w:hAnsiTheme="minorEastAsia" w:eastAsiaTheme="minorEastAsia"/>
          <w:kern w:val="2"/>
          <w:sz w:val="28"/>
          <w:szCs w:val="28"/>
        </w:rPr>
      </w:pPr>
      <w:r>
        <w:rPr>
          <w:rFonts w:hint="eastAsia" w:cs="仿宋_GB2312" w:asciiTheme="minorEastAsia" w:hAnsiTheme="minorEastAsia" w:eastAsiaTheme="minorEastAsia"/>
          <w:kern w:val="2"/>
          <w:sz w:val="28"/>
          <w:szCs w:val="28"/>
        </w:rPr>
        <w:t>由于中职学生刚开始步入自己的人生与职业生涯，缺乏职业发展思想和相关教育，发展资源不够丰富。针对此问题，学校已逐步在教学计划中加入职业发展及创新创业教育，提升学生的职业发展知识水平和锻炼机会，为学生的职业发展提供了支持。</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3.质量保障措施</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3.1专业动态调整</w:t>
      </w:r>
    </w:p>
    <w:p>
      <w:pPr>
        <w:pStyle w:val="9"/>
        <w:spacing w:beforeAutospacing="0" w:afterAutospacing="0"/>
        <w:ind w:firstLine="560" w:firstLineChars="200"/>
        <w:jc w:val="both"/>
        <w:rPr>
          <w:rFonts w:cs="仿宋_GB2312" w:asciiTheme="minorEastAsia" w:hAnsiTheme="minorEastAsia" w:eastAsiaTheme="minorEastAsia"/>
          <w:kern w:val="2"/>
          <w:sz w:val="28"/>
          <w:szCs w:val="28"/>
        </w:rPr>
      </w:pPr>
      <w:r>
        <w:rPr>
          <w:rFonts w:hint="eastAsia" w:cs="仿宋_GB2312" w:asciiTheme="minorEastAsia" w:hAnsiTheme="minorEastAsia" w:eastAsiaTheme="minorEastAsia"/>
          <w:kern w:val="2"/>
          <w:sz w:val="28"/>
          <w:szCs w:val="28"/>
        </w:rPr>
        <w:t>自2020以来，学校秉承“以服务为宗旨、以就业为导向、以改革创新为动力、以质量为核心”的办学方针，依据区域发展需要，优化专业结构动态调整机制，以“机电设备安装与维修”等重点建设专业为龙头，带动其它专业的建设与发展。在积极打造精品专业的同时，探索多元化专业教学模式，建立“以厚基础、宽口径为特征的人才培养机制、以市场需求为导向的课程调整机制”，优化专业结构设置，促进专业结构优化和办学特色培育，切实与当地产业相结合、相融合，不断提升技术技能型人才培养与区域经济社会发展的契合度。近年来培养的学生得到用人单位的普遍好评，毕业生供不应求，极大地促进了地方经济建设与发展。</w:t>
      </w:r>
    </w:p>
    <w:p>
      <w:pPr>
        <w:pStyle w:val="9"/>
        <w:spacing w:beforeAutospacing="0" w:afterAutospacing="0"/>
        <w:ind w:firstLine="562" w:firstLineChars="200"/>
        <w:jc w:val="both"/>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3.2教育教学改革</w:t>
      </w:r>
    </w:p>
    <w:p>
      <w:pPr>
        <w:ind w:firstLine="560" w:firstLineChars="200"/>
        <w:rPr>
          <w:rFonts w:ascii="宋体" w:hAnsi="宋体" w:cs="仿宋_GB2312"/>
          <w:sz w:val="28"/>
          <w:szCs w:val="28"/>
        </w:rPr>
      </w:pPr>
      <w:r>
        <w:rPr>
          <w:rFonts w:hint="eastAsia" w:ascii="宋体" w:hAnsi="宋体" w:cs="仿宋_GB2312"/>
          <w:sz w:val="28"/>
          <w:szCs w:val="28"/>
        </w:rPr>
        <w:t>学校</w:t>
      </w:r>
      <w:r>
        <w:rPr>
          <w:rFonts w:ascii="宋体" w:hAnsi="宋体" w:cs="仿宋_GB2312"/>
          <w:sz w:val="28"/>
          <w:szCs w:val="28"/>
        </w:rPr>
        <w:t>教学研究机构健全</w:t>
      </w:r>
      <w:r>
        <w:rPr>
          <w:rFonts w:hint="eastAsia" w:ascii="宋体" w:hAnsi="宋体" w:cs="仿宋_GB2312"/>
          <w:sz w:val="28"/>
          <w:szCs w:val="28"/>
        </w:rPr>
        <w:t>；</w:t>
      </w:r>
      <w:r>
        <w:rPr>
          <w:rFonts w:ascii="宋体" w:hAnsi="宋体" w:cs="仿宋_GB2312"/>
          <w:sz w:val="28"/>
          <w:szCs w:val="28"/>
        </w:rPr>
        <w:t>管理制度规范、</w:t>
      </w:r>
      <w:r>
        <w:rPr>
          <w:rFonts w:hint="eastAsia" w:ascii="宋体" w:hAnsi="宋体" w:cs="仿宋_GB2312"/>
          <w:sz w:val="28"/>
          <w:szCs w:val="28"/>
        </w:rPr>
        <w:t>制定有《教科研成果奖励实施办法》、《技能大赛（教学竞赛）获奖奖励实施办法》等</w:t>
      </w:r>
      <w:r>
        <w:rPr>
          <w:rFonts w:ascii="宋体" w:hAnsi="宋体" w:cs="仿宋_GB2312"/>
          <w:sz w:val="28"/>
          <w:szCs w:val="28"/>
        </w:rPr>
        <w:t>激励</w:t>
      </w:r>
      <w:r>
        <w:rPr>
          <w:rFonts w:hint="eastAsia" w:ascii="宋体" w:hAnsi="宋体" w:cs="仿宋_GB2312"/>
          <w:sz w:val="28"/>
          <w:szCs w:val="28"/>
        </w:rPr>
        <w:t>政策；是陕西省中职教育数控加工专业教研中心组牵头单位，并积极</w:t>
      </w:r>
      <w:r>
        <w:rPr>
          <w:rFonts w:ascii="宋体" w:hAnsi="宋体" w:cs="仿宋_GB2312"/>
          <w:sz w:val="28"/>
          <w:szCs w:val="28"/>
        </w:rPr>
        <w:t>参与省级</w:t>
      </w:r>
      <w:r>
        <w:rPr>
          <w:rFonts w:hint="eastAsia" w:ascii="宋体" w:hAnsi="宋体" w:cs="仿宋_GB2312"/>
          <w:sz w:val="28"/>
          <w:szCs w:val="28"/>
        </w:rPr>
        <w:t>其它</w:t>
      </w:r>
      <w:r>
        <w:rPr>
          <w:rFonts w:ascii="宋体" w:hAnsi="宋体" w:cs="仿宋_GB2312"/>
          <w:sz w:val="28"/>
          <w:szCs w:val="28"/>
        </w:rPr>
        <w:t>专业(学科)教学研究中心组教研活动</w:t>
      </w:r>
      <w:r>
        <w:rPr>
          <w:rFonts w:hint="eastAsia" w:ascii="宋体" w:hAnsi="宋体" w:cs="仿宋_GB2312"/>
          <w:sz w:val="28"/>
          <w:szCs w:val="28"/>
        </w:rPr>
        <w:t>；</w:t>
      </w:r>
      <w:r>
        <w:rPr>
          <w:rFonts w:ascii="宋体" w:hAnsi="宋体" w:cs="仿宋_GB2312"/>
          <w:sz w:val="28"/>
          <w:szCs w:val="28"/>
        </w:rPr>
        <w:t>学校开展的教研活动</w:t>
      </w:r>
      <w:r>
        <w:rPr>
          <w:rFonts w:hint="eastAsia" w:ascii="宋体" w:hAnsi="宋体" w:cs="仿宋_GB2312"/>
          <w:sz w:val="28"/>
          <w:szCs w:val="28"/>
        </w:rPr>
        <w:t>内容</w:t>
      </w:r>
      <w:r>
        <w:rPr>
          <w:rFonts w:ascii="宋体" w:hAnsi="宋体" w:cs="仿宋_GB2312"/>
          <w:sz w:val="28"/>
          <w:szCs w:val="28"/>
        </w:rPr>
        <w:t>丰富、有成效</w:t>
      </w:r>
      <w:r>
        <w:rPr>
          <w:rFonts w:hint="eastAsia" w:ascii="宋体" w:hAnsi="宋体" w:cs="仿宋_GB2312"/>
          <w:sz w:val="28"/>
          <w:szCs w:val="28"/>
        </w:rPr>
        <w:t>显著</w:t>
      </w:r>
      <w:r>
        <w:rPr>
          <w:rFonts w:ascii="宋体" w:hAnsi="宋体" w:cs="仿宋_GB2312"/>
          <w:sz w:val="28"/>
          <w:szCs w:val="28"/>
        </w:rPr>
        <w:t>，教研活动记录和总结齐全。</w:t>
      </w:r>
    </w:p>
    <w:p>
      <w:pPr>
        <w:ind w:firstLine="560" w:firstLineChars="200"/>
        <w:rPr>
          <w:rFonts w:ascii="宋体" w:hAnsi="宋体" w:cs="仿宋_GB2312"/>
          <w:sz w:val="28"/>
          <w:szCs w:val="28"/>
        </w:rPr>
      </w:pPr>
      <w:r>
        <w:rPr>
          <w:rFonts w:hint="eastAsia" w:ascii="宋体" w:hAnsi="宋体" w:cs="仿宋_GB2312"/>
          <w:sz w:val="28"/>
          <w:szCs w:val="28"/>
        </w:rPr>
        <w:t>学校</w:t>
      </w:r>
      <w:r>
        <w:rPr>
          <w:rFonts w:ascii="宋体" w:hAnsi="宋体" w:cs="仿宋_GB2312"/>
          <w:sz w:val="28"/>
          <w:szCs w:val="28"/>
        </w:rPr>
        <w:t>组织开展重大教学科研项目研究与实践、总结与推广。聚焦教学领域，围绕产教融合型专业建设、“三教”改革</w:t>
      </w:r>
      <w:r>
        <w:rPr>
          <w:rFonts w:hint="eastAsia" w:ascii="宋体" w:hAnsi="宋体" w:cs="仿宋_GB2312"/>
          <w:sz w:val="28"/>
          <w:szCs w:val="28"/>
        </w:rPr>
        <w:t>,</w:t>
      </w:r>
      <w:r>
        <w:rPr>
          <w:rFonts w:ascii="宋体" w:hAnsi="宋体" w:cs="仿宋_GB2312"/>
          <w:sz w:val="28"/>
          <w:szCs w:val="28"/>
        </w:rPr>
        <w:t>开展</w:t>
      </w:r>
      <w:r>
        <w:rPr>
          <w:rFonts w:hint="eastAsia" w:ascii="宋体" w:hAnsi="宋体" w:cs="仿宋_GB2312"/>
          <w:sz w:val="28"/>
          <w:szCs w:val="28"/>
        </w:rPr>
        <w:t>教学</w:t>
      </w:r>
      <w:r>
        <w:rPr>
          <w:rFonts w:ascii="宋体" w:hAnsi="宋体" w:cs="仿宋_GB2312"/>
          <w:sz w:val="28"/>
          <w:szCs w:val="28"/>
        </w:rPr>
        <w:t>实验与试点培育，及时发现、总结和提炼教学创新成果，推广创新性教学理念、教学模式，教学方法，效果</w:t>
      </w:r>
      <w:r>
        <w:rPr>
          <w:rFonts w:hint="eastAsia" w:ascii="宋体" w:hAnsi="宋体" w:cs="仿宋_GB2312"/>
          <w:sz w:val="28"/>
          <w:szCs w:val="28"/>
        </w:rPr>
        <w:t>良好</w:t>
      </w:r>
      <w:r>
        <w:rPr>
          <w:rFonts w:ascii="宋体" w:hAnsi="宋体" w:cs="仿宋_GB2312"/>
          <w:sz w:val="28"/>
          <w:szCs w:val="28"/>
        </w:rPr>
        <w:t>。</w:t>
      </w:r>
    </w:p>
    <w:p>
      <w:pPr>
        <w:ind w:firstLine="560" w:firstLineChars="200"/>
        <w:rPr>
          <w:rFonts w:hint="eastAsia"/>
          <w:sz w:val="28"/>
          <w:szCs w:val="28"/>
        </w:rPr>
      </w:pPr>
      <w:r>
        <w:rPr>
          <w:rFonts w:hint="eastAsia"/>
          <w:sz w:val="28"/>
          <w:szCs w:val="28"/>
        </w:rPr>
        <w:t>学校秉承“以服务为宗旨、以就业为导向、以改革创新为动力、以质量为核心”的办学方针，结合</w:t>
      </w:r>
      <w:r>
        <w:rPr>
          <w:rFonts w:cs="仿宋_GB2312" w:asciiTheme="minorEastAsia" w:hAnsiTheme="minorEastAsia"/>
          <w:sz w:val="28"/>
          <w:szCs w:val="28"/>
        </w:rPr>
        <w:t>企业需求</w:t>
      </w:r>
      <w:r>
        <w:rPr>
          <w:rFonts w:hint="eastAsia" w:cs="仿宋_GB2312" w:asciiTheme="minorEastAsia" w:hAnsiTheme="minorEastAsia"/>
          <w:sz w:val="28"/>
          <w:szCs w:val="28"/>
        </w:rPr>
        <w:t>及专业特点</w:t>
      </w:r>
      <w:r>
        <w:rPr>
          <w:rFonts w:cs="仿宋_GB2312" w:asciiTheme="minorEastAsia" w:hAnsiTheme="minorEastAsia"/>
          <w:sz w:val="28"/>
          <w:szCs w:val="28"/>
        </w:rPr>
        <w:t>，</w:t>
      </w:r>
      <w:r>
        <w:rPr>
          <w:rFonts w:hint="eastAsia"/>
          <w:sz w:val="28"/>
          <w:szCs w:val="28"/>
        </w:rPr>
        <w:t>优化专业结构动态调整机制，</w:t>
      </w:r>
      <w:r>
        <w:rPr>
          <w:rFonts w:hint="eastAsia" w:cs="仿宋_GB2312" w:asciiTheme="minorEastAsia" w:hAnsiTheme="minorEastAsia"/>
          <w:sz w:val="28"/>
          <w:szCs w:val="28"/>
        </w:rPr>
        <w:t>分别</w:t>
      </w:r>
      <w:r>
        <w:rPr>
          <w:rFonts w:cs="仿宋_GB2312" w:asciiTheme="minorEastAsia" w:hAnsiTheme="minorEastAsia"/>
          <w:sz w:val="28"/>
          <w:szCs w:val="28"/>
        </w:rPr>
        <w:t>以</w:t>
      </w:r>
      <w:r>
        <w:rPr>
          <w:rFonts w:hint="eastAsia" w:cs="仿宋_GB2312" w:asciiTheme="minorEastAsia" w:hAnsiTheme="minorEastAsia"/>
          <w:sz w:val="28"/>
          <w:szCs w:val="28"/>
        </w:rPr>
        <w:t>“冠名</w:t>
      </w:r>
      <w:r>
        <w:rPr>
          <w:rFonts w:cs="仿宋_GB2312" w:asciiTheme="minorEastAsia" w:hAnsiTheme="minorEastAsia"/>
          <w:sz w:val="28"/>
          <w:szCs w:val="28"/>
        </w:rPr>
        <w:t>订单式</w:t>
      </w:r>
      <w:r>
        <w:rPr>
          <w:rFonts w:hint="eastAsia" w:cs="仿宋_GB2312" w:asciiTheme="minorEastAsia" w:hAnsiTheme="minorEastAsia"/>
          <w:sz w:val="28"/>
          <w:szCs w:val="28"/>
        </w:rPr>
        <w:t>”、“现代学徒制试点”、“产教融合”等形式</w:t>
      </w:r>
      <w:r>
        <w:rPr>
          <w:rFonts w:cs="仿宋_GB2312" w:asciiTheme="minorEastAsia" w:hAnsiTheme="minorEastAsia"/>
          <w:sz w:val="28"/>
          <w:szCs w:val="28"/>
        </w:rPr>
        <w:t>与</w:t>
      </w:r>
      <w:r>
        <w:rPr>
          <w:rFonts w:hint="eastAsia" w:ascii="宋体" w:hAnsi="宋体" w:eastAsia="宋体" w:cs="宋体"/>
          <w:sz w:val="28"/>
          <w:szCs w:val="28"/>
        </w:rPr>
        <w:t>陕汽集团、宝鸡吉利汽车、三星电子（中国）有限公司、中兴通讯</w:t>
      </w:r>
      <w:r>
        <w:rPr>
          <w:rFonts w:hint="eastAsia" w:cs="仿宋_GB2312" w:asciiTheme="minorEastAsia" w:hAnsiTheme="minorEastAsia"/>
          <w:sz w:val="28"/>
          <w:szCs w:val="28"/>
        </w:rPr>
        <w:t>等10余家名企签订了冠名</w:t>
      </w:r>
      <w:r>
        <w:rPr>
          <w:rFonts w:cs="仿宋_GB2312" w:asciiTheme="minorEastAsia" w:hAnsiTheme="minorEastAsia"/>
          <w:sz w:val="28"/>
          <w:szCs w:val="28"/>
        </w:rPr>
        <w:t>订单</w:t>
      </w:r>
      <w:r>
        <w:rPr>
          <w:rFonts w:hint="eastAsia" w:cs="仿宋_GB2312" w:asciiTheme="minorEastAsia" w:hAnsiTheme="minorEastAsia"/>
          <w:sz w:val="28"/>
          <w:szCs w:val="28"/>
        </w:rPr>
        <w:t>合作协议，</w:t>
      </w:r>
      <w:r>
        <w:rPr>
          <w:rFonts w:hint="eastAsia"/>
          <w:sz w:val="28"/>
          <w:szCs w:val="28"/>
        </w:rPr>
        <w:t>积极探索项目化教学、任务驱动教学、案例教学、一体化教学等教学模式改革，突出“做中学、学中做”；并建立“以厚基础、宽口径为特征的人才培养机制、以市场需求为导向的课程调整机制”，优化专业结构设置，促进专业结构优化和办学特色培育，切实与产业相结合、相融合，不断提升技术技能型人才培养与经济社会发展的契合度。</w:t>
      </w:r>
    </w:p>
    <w:p>
      <w:pPr>
        <w:ind w:firstLine="560" w:firstLineChars="200"/>
        <w:rPr>
          <w:rFonts w:ascii="宋体" w:hAnsi="宋体" w:cs="仿宋_GB2312"/>
          <w:sz w:val="28"/>
          <w:szCs w:val="28"/>
        </w:rPr>
      </w:pPr>
      <w:r>
        <w:rPr>
          <w:rFonts w:hint="eastAsia" w:ascii="宋体" w:hAnsi="宋体" w:cs="仿宋_GB2312"/>
          <w:sz w:val="28"/>
          <w:szCs w:val="28"/>
        </w:rPr>
        <w:t>学校积极申报</w:t>
      </w:r>
      <w:r>
        <w:rPr>
          <w:rFonts w:ascii="宋体" w:hAnsi="宋体" w:cs="仿宋_GB2312"/>
          <w:sz w:val="28"/>
          <w:szCs w:val="28"/>
        </w:rPr>
        <w:t>省级高水平示范校</w:t>
      </w:r>
      <w:r>
        <w:rPr>
          <w:rFonts w:hint="eastAsia" w:ascii="宋体" w:hAnsi="宋体" w:cs="仿宋_GB2312"/>
          <w:sz w:val="28"/>
          <w:szCs w:val="28"/>
        </w:rPr>
        <w:t>,积极参与</w:t>
      </w:r>
      <w:r>
        <w:rPr>
          <w:rFonts w:ascii="宋体" w:hAnsi="宋体" w:cs="仿宋_GB2312"/>
          <w:sz w:val="28"/>
          <w:szCs w:val="28"/>
        </w:rPr>
        <w:t>中等职业学校教学改革</w:t>
      </w:r>
      <w:r>
        <w:rPr>
          <w:rFonts w:hint="eastAsia" w:ascii="宋体" w:hAnsi="宋体" w:cs="仿宋_GB2312"/>
          <w:sz w:val="28"/>
          <w:szCs w:val="28"/>
        </w:rPr>
        <w:t>和教学比赛</w:t>
      </w:r>
      <w:r>
        <w:rPr>
          <w:rFonts w:ascii="宋体" w:hAnsi="宋体" w:cs="仿宋_GB2312"/>
          <w:sz w:val="28"/>
          <w:szCs w:val="28"/>
        </w:rPr>
        <w:t>，教学成果</w:t>
      </w:r>
      <w:r>
        <w:rPr>
          <w:rFonts w:hint="eastAsia" w:ascii="宋体" w:hAnsi="宋体" w:cs="仿宋_GB2312"/>
          <w:sz w:val="28"/>
          <w:szCs w:val="28"/>
        </w:rPr>
        <w:t>比较丰富,在</w:t>
      </w:r>
      <w:r>
        <w:rPr>
          <w:rFonts w:ascii="宋体" w:hAnsi="宋体" w:cs="仿宋_GB2312"/>
          <w:sz w:val="28"/>
          <w:szCs w:val="28"/>
        </w:rPr>
        <w:t>教育教学改革</w:t>
      </w:r>
      <w:r>
        <w:rPr>
          <w:rFonts w:hint="eastAsia" w:ascii="宋体" w:hAnsi="宋体" w:cs="仿宋_GB2312"/>
          <w:sz w:val="28"/>
          <w:szCs w:val="28"/>
        </w:rPr>
        <w:t>方面发挥了较好的示范引领作用</w:t>
      </w:r>
      <w:r>
        <w:rPr>
          <w:rFonts w:ascii="宋体" w:hAnsi="宋体" w:cs="仿宋_GB2312"/>
          <w:sz w:val="28"/>
          <w:szCs w:val="28"/>
        </w:rPr>
        <w:t>，参与教学改革人数</w:t>
      </w:r>
      <w:r>
        <w:rPr>
          <w:rFonts w:hint="eastAsia" w:ascii="宋体" w:hAnsi="宋体" w:cs="仿宋_GB2312"/>
          <w:sz w:val="28"/>
          <w:szCs w:val="28"/>
        </w:rPr>
        <w:t>180余人，</w:t>
      </w:r>
      <w:r>
        <w:rPr>
          <w:rFonts w:ascii="宋体" w:hAnsi="宋体" w:cs="仿宋_GB2312"/>
          <w:sz w:val="28"/>
          <w:szCs w:val="28"/>
        </w:rPr>
        <w:t>占专任教师比例</w:t>
      </w:r>
      <w:r>
        <w:rPr>
          <w:rFonts w:hint="eastAsia" w:ascii="宋体" w:hAnsi="宋体" w:cs="仿宋_GB2312"/>
          <w:sz w:val="28"/>
          <w:szCs w:val="28"/>
        </w:rPr>
        <w:t>75</w:t>
      </w:r>
      <w:r>
        <w:rPr>
          <w:rFonts w:ascii="宋体" w:hAnsi="宋体" w:cs="仿宋_GB2312"/>
          <w:sz w:val="28"/>
          <w:szCs w:val="28"/>
        </w:rPr>
        <w:t>%以上。</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3.3教师培养培训</w:t>
      </w:r>
    </w:p>
    <w:p>
      <w:pPr>
        <w:pStyle w:val="9"/>
        <w:spacing w:beforeAutospacing="0" w:afterAutospacing="0"/>
        <w:ind w:firstLine="560" w:firstLineChars="200"/>
        <w:jc w:val="both"/>
        <w:rPr>
          <w:rFonts w:cs="仿宋_GB2312" w:asciiTheme="minorEastAsia" w:hAnsiTheme="minorEastAsia" w:eastAsiaTheme="minorEastAsia"/>
          <w:kern w:val="2"/>
          <w:sz w:val="28"/>
          <w:szCs w:val="28"/>
        </w:rPr>
      </w:pPr>
      <w:r>
        <w:rPr>
          <w:rFonts w:hint="eastAsia" w:cs="仿宋_GB2312" w:asciiTheme="minorEastAsia" w:hAnsiTheme="minorEastAsia" w:eastAsiaTheme="minorEastAsia"/>
          <w:kern w:val="2"/>
          <w:sz w:val="28"/>
          <w:szCs w:val="28"/>
        </w:rPr>
        <w:t>学校积极组织实施各级各类培训，通过安排骨干教师参加国家级、省级的各类培训，努力提升教师的专业素养和专业技能水平。截止2020年底，学校投入培训经费10余万元，安排教师参加各类培训460余人次。</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3.4规范管理情况</w:t>
      </w:r>
    </w:p>
    <w:p>
      <w:pPr>
        <w:ind w:firstLine="560" w:firstLineChars="200"/>
        <w:rPr>
          <w:rFonts w:ascii="宋体" w:hAnsi="宋体" w:cs="仿宋_GB2312"/>
          <w:sz w:val="28"/>
          <w:szCs w:val="28"/>
        </w:rPr>
      </w:pPr>
      <w:r>
        <w:rPr>
          <w:rFonts w:hint="eastAsia" w:ascii="宋体" w:hAnsi="宋体" w:cs="仿宋_GB2312"/>
          <w:sz w:val="28"/>
          <w:szCs w:val="28"/>
        </w:rPr>
        <w:t>学校教学管理规章制度健全、规范，工作计划及总结齐全；教学进程和课程能结合学校实际进行安排，教学管理严格按照学校制定的《规范》要求执行，教学秩序稳定；考试管理制度齐全，执行比较严格，学籍管理制度健全规范；专业人才培养方案及课程标准齐全、规范；实训教学组织科学、严密、规范，效果良好；教研组能认真开展教研活动，活动内容丰富，教研工作有计划、有总结、成绩突出。</w:t>
      </w:r>
    </w:p>
    <w:p>
      <w:pPr>
        <w:ind w:firstLine="560" w:firstLineChars="200"/>
        <w:rPr>
          <w:rFonts w:ascii="宋体" w:hAnsi="宋体" w:cs="仿宋_GB2312"/>
          <w:sz w:val="28"/>
          <w:szCs w:val="28"/>
        </w:rPr>
      </w:pPr>
      <w:r>
        <w:rPr>
          <w:rFonts w:hint="eastAsia" w:ascii="宋体" w:hAnsi="宋体" w:cs="仿宋_GB2312"/>
          <w:sz w:val="28"/>
          <w:szCs w:val="28"/>
        </w:rPr>
        <w:t>学校师资管理制定有教师培训3年规划，有目标、有措施、基本能执行到位；有比较健全的教师“四级评议”考核制度，有明确的考核标准和实施办法；学校制定有《超课时奖发放办法》、《教科研成果奖励实施办法》、《技能大赛（教学竞赛）获奖奖励实施办法》等</w:t>
      </w:r>
      <w:r>
        <w:rPr>
          <w:rFonts w:ascii="宋体" w:hAnsi="宋体" w:cs="仿宋_GB2312"/>
          <w:sz w:val="28"/>
          <w:szCs w:val="28"/>
        </w:rPr>
        <w:t>激励</w:t>
      </w:r>
      <w:r>
        <w:rPr>
          <w:rFonts w:hint="eastAsia" w:ascii="宋体" w:hAnsi="宋体" w:cs="仿宋_GB2312"/>
          <w:sz w:val="28"/>
          <w:szCs w:val="28"/>
        </w:rPr>
        <w:t>政策，能将考核结果与评优、评奖挂钩；教学业务档案管理比较规范，能经常性地组织教师学习党的政策文件；对于师德师风建设做到常抓不懈。</w:t>
      </w:r>
    </w:p>
    <w:p>
      <w:pPr>
        <w:pStyle w:val="9"/>
        <w:spacing w:beforeAutospacing="0" w:afterAutospacing="0"/>
        <w:ind w:firstLine="560" w:firstLineChars="200"/>
        <w:jc w:val="both"/>
        <w:rPr>
          <w:rFonts w:cs="仿宋_GB2312" w:asciiTheme="minorEastAsia" w:hAnsiTheme="minorEastAsia"/>
          <w:sz w:val="28"/>
          <w:szCs w:val="28"/>
        </w:rPr>
      </w:pPr>
      <w:r>
        <w:rPr>
          <w:rFonts w:hint="eastAsia" w:cs="仿宋_GB2312" w:asciiTheme="minorEastAsia" w:hAnsiTheme="minorEastAsia"/>
          <w:sz w:val="28"/>
          <w:szCs w:val="28"/>
        </w:rPr>
        <w:t>学校建立有健全的财务和资产管理制度，资金的收入和支出严格按照学校财务管理制度执行；在专项资金管理上，学校严格执行《专项资金管理暂行办法》，明确专项资金来源、使用范围、开支标准、审批人员及流程、明确相关人员的责任，做到项目资金专款专用；政策性经费、项目投入经费能及时到位，严格执行财务制度，保证了财务、资产管理制度的健全、规范及执行的有效性。</w:t>
      </w:r>
    </w:p>
    <w:p>
      <w:pPr>
        <w:ind w:firstLine="560" w:firstLineChars="200"/>
        <w:rPr>
          <w:rFonts w:ascii="宋体" w:hAnsi="宋体" w:cs="仿宋_GB2312"/>
          <w:sz w:val="28"/>
          <w:szCs w:val="28"/>
        </w:rPr>
      </w:pPr>
      <w:r>
        <w:rPr>
          <w:rFonts w:hint="eastAsia" w:ascii="宋体" w:hAnsi="宋体" w:cs="仿宋_GB2312"/>
          <w:sz w:val="28"/>
          <w:szCs w:val="28"/>
        </w:rPr>
        <w:t>学校制定有班主任工作、学生综合素质考核、学生安全管理、学生宿舍管理、学生考勤等制度,内容充实、操作性强，学生管理能严格依照制度执行。</w:t>
      </w:r>
    </w:p>
    <w:p>
      <w:pPr>
        <w:ind w:firstLine="560" w:firstLineChars="200"/>
        <w:rPr>
          <w:rFonts w:ascii="宋体" w:hAnsi="宋体" w:cs="仿宋_GB2312"/>
          <w:sz w:val="28"/>
          <w:szCs w:val="28"/>
        </w:rPr>
      </w:pPr>
      <w:r>
        <w:rPr>
          <w:rFonts w:hint="eastAsia" w:ascii="宋体" w:hAnsi="宋体" w:cs="仿宋_GB2312"/>
          <w:sz w:val="28"/>
          <w:szCs w:val="28"/>
        </w:rPr>
        <w:t>学校人事管理制度比较完善，分配制度科学合理，能创造性地开展工作。</w:t>
      </w:r>
    </w:p>
    <w:p>
      <w:pPr>
        <w:pStyle w:val="9"/>
        <w:spacing w:beforeAutospacing="0" w:afterAutospacing="0"/>
        <w:ind w:firstLine="562" w:firstLineChars="200"/>
        <w:jc w:val="both"/>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3.5德育工作情况</w:t>
      </w:r>
    </w:p>
    <w:p>
      <w:pPr>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为了更好的适应教学改革和发展要求，增强教学工作的针对性和实效性，提升我校教师政治思想认识，实现教学工作的专业化、系统化、目的化，学校成立了思政教研组,全面贯彻落实十九届五中全会会议精神，并要求教师及时将会议精神纳入思政课程和课程思政的教学工作中，结合党的十九届五中全会《建设》学习辅导百问，组织开展思政及德育教学工作。开展了法制教育报告会、学习“西迁精神”主题活动，培养学生遵纪守法和爱国主义精神。</w:t>
      </w:r>
    </w:p>
    <w:p>
      <w:pPr>
        <w:ind w:firstLine="560" w:firstLineChars="200"/>
        <w:rPr>
          <w:rFonts w:ascii="宋体" w:hAnsi="宋体" w:cs="仿宋_GB2312"/>
          <w:sz w:val="28"/>
          <w:szCs w:val="28"/>
        </w:rPr>
      </w:pPr>
      <w:r>
        <w:rPr>
          <w:rFonts w:hint="eastAsia" w:ascii="宋体" w:hAnsi="宋体" w:cs="仿宋_GB2312"/>
          <w:sz w:val="28"/>
          <w:szCs w:val="28"/>
        </w:rPr>
        <w:t>各专业能根据教育部关于印发的《大中小学劳动教育指导纲要（试行）》通知精神,及时</w:t>
      </w:r>
      <w:r>
        <w:rPr>
          <w:rFonts w:ascii="宋体" w:hAnsi="宋体" w:cs="仿宋_GB2312"/>
          <w:sz w:val="28"/>
          <w:szCs w:val="28"/>
        </w:rPr>
        <w:t>将劳动教育纳入人才培养方案，以实习实训课</w:t>
      </w:r>
      <w:r>
        <w:rPr>
          <w:rFonts w:hint="eastAsia" w:ascii="宋体" w:hAnsi="宋体" w:cs="仿宋_GB2312"/>
          <w:sz w:val="28"/>
          <w:szCs w:val="28"/>
        </w:rPr>
        <w:t>程</w:t>
      </w:r>
      <w:r>
        <w:rPr>
          <w:rFonts w:ascii="宋体" w:hAnsi="宋体" w:cs="仿宋_GB2312"/>
          <w:sz w:val="28"/>
          <w:szCs w:val="28"/>
        </w:rPr>
        <w:t>为主要载体开设不少于16学时</w:t>
      </w:r>
      <w:r>
        <w:rPr>
          <w:rFonts w:hint="eastAsia" w:ascii="宋体" w:hAnsi="宋体" w:cs="仿宋_GB2312"/>
          <w:sz w:val="28"/>
          <w:szCs w:val="28"/>
        </w:rPr>
        <w:t>的</w:t>
      </w:r>
      <w:r>
        <w:rPr>
          <w:rFonts w:ascii="宋体" w:hAnsi="宋体" w:cs="仿宋_GB2312"/>
          <w:sz w:val="28"/>
          <w:szCs w:val="28"/>
        </w:rPr>
        <w:t>劳动教育必修课程，</w:t>
      </w:r>
      <w:r>
        <w:rPr>
          <w:rFonts w:hint="eastAsia" w:ascii="宋体" w:hAnsi="宋体" w:cs="仿宋_GB2312"/>
          <w:sz w:val="28"/>
          <w:szCs w:val="28"/>
        </w:rPr>
        <w:t>并将劳动教育</w:t>
      </w:r>
      <w:r>
        <w:rPr>
          <w:rFonts w:ascii="宋体" w:hAnsi="宋体" w:cs="仿宋_GB2312"/>
          <w:sz w:val="28"/>
          <w:szCs w:val="28"/>
        </w:rPr>
        <w:t>融入学校教学全过程</w:t>
      </w:r>
      <w:r>
        <w:rPr>
          <w:rFonts w:hint="eastAsia" w:ascii="宋体" w:hAnsi="宋体" w:cs="仿宋_GB2312"/>
          <w:sz w:val="28"/>
          <w:szCs w:val="28"/>
        </w:rPr>
        <w:t>、</w:t>
      </w:r>
      <w:r>
        <w:rPr>
          <w:rFonts w:ascii="宋体" w:hAnsi="宋体" w:cs="仿宋_GB2312"/>
          <w:sz w:val="28"/>
          <w:szCs w:val="28"/>
        </w:rPr>
        <w:t>纳入综合素质评价。</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3.6党建情况</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贯彻落实习近平总书记来陕考察重要讲话重要指示精神，肃清赵正永流毒和恶劣影响，扎实开展以案促改工作。学校起草印发了《深入贯彻落实中央两个通报精神切实做好赵正永严重违纪违法案以案促改工作的实施方案》、《关于印发赵正永严重违纪违法案以案促改专题民主生活会实施方案的通知》、《以案促改专题学习情况汇报》、《关于开展四个查一查工作总结的报告》，《关于召开赵正永严重违纪违法案以案促改专题民主生活会的请示》、《中共渭南技师学院委员会领导班子对照检查材料》等相关文件。每半月起草上报《四个查一查贯彻落实党中央要求情况统计表》、《深入查一查选人用人情况工作进展的报告》、以及各种阶段性工作报告等百余份。</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做好领导班子专题民主生活会相关工作，组织各党支部开展组织生活会民主评议党员工作。做好领导班子专题民主生活会会后相关材料的起草上报工作。</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认真落实书记抓党建工作，党委中心组紧扣时政热点组织召开了党建工作专题会议5次，起草上报了《基层党建工作自查情况的报告》等相关资料。</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先后组织举办了2期学习研讨班，深入学习了习近平总书记来陕重要讲话重要指示精神和、习近平新时代中国特色社会主义思想及职业教育法律法规内容。</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规范基层党支部建设四单六制，加大党员教育管理，做好积分管理，开展党员民主评议。</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开展志愿者服务。在创文活动中，组织党员干部执勤交通文明劝导岗；疫情期间组织党员干部捐款；结合疫情防控工作要求，先后两批组织111名党员干部参与临渭区、高新区、经开区所属的22个社区72个小区的疫情防控工作，在1个多月的执勤值守工作中，党员志愿们积极开展走访排查、值守监测、宣传引导和服务关怀等工作，为社区防守贡献力量，用实际行动践行初心和使命。</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组织党员干部到渭南市博物馆参观“奋进之路主题教育展” 并组织学员观看抗美援朝教育片《金刚川》、赴高塘“渭华起义纪念馆”参观学习。</w:t>
      </w:r>
    </w:p>
    <w:p>
      <w:pPr>
        <w:adjustRightInd w:val="0"/>
        <w:snapToGri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做好党员发展工作。全年完成接收预备党员4名，向党委报备发展对象3人，积极分子7人，按要求做好有关资料的审核工作。举办第十六期业余党校培训班，对入党积极分子、优秀团干部70余人进行培训。</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4.校企合作</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4.1校企合作开展情况和效果</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学校始终坚持以服务地方经济发展为根本，立足本校专业，广泛与相关企业开展各种形式的校企合作，自2020年以来先后与</w:t>
      </w:r>
      <w:r>
        <w:rPr>
          <w:rFonts w:hint="eastAsia" w:cs="仿宋_GB2312" w:asciiTheme="minorEastAsia" w:hAnsiTheme="minorEastAsia"/>
          <w:color w:val="000000" w:themeColor="text1"/>
          <w:sz w:val="28"/>
          <w:szCs w:val="28"/>
          <w14:textFill>
            <w14:solidFill>
              <w14:schemeClr w14:val="tx1"/>
            </w14:solidFill>
          </w14:textFill>
        </w:rPr>
        <w:t>10余家</w:t>
      </w:r>
      <w:r>
        <w:rPr>
          <w:rFonts w:hint="eastAsia" w:cs="仿宋_GB2312" w:asciiTheme="minorEastAsia" w:hAnsiTheme="minorEastAsia"/>
          <w:sz w:val="28"/>
          <w:szCs w:val="28"/>
        </w:rPr>
        <w:t>名企签订了校企合作协议。</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w:t>
      </w:r>
      <w:r>
        <w:rPr>
          <w:rFonts w:cs="仿宋_GB2312" w:asciiTheme="minorEastAsia" w:hAnsiTheme="minorEastAsia"/>
          <w:sz w:val="28"/>
          <w:szCs w:val="28"/>
        </w:rPr>
        <w:t>各专业</w:t>
      </w:r>
      <w:r>
        <w:rPr>
          <w:rFonts w:hint="eastAsia" w:cs="仿宋_GB2312" w:asciiTheme="minorEastAsia" w:hAnsiTheme="minorEastAsia"/>
          <w:sz w:val="28"/>
          <w:szCs w:val="28"/>
        </w:rPr>
        <w:t>根据</w:t>
      </w:r>
      <w:r>
        <w:rPr>
          <w:rFonts w:cs="仿宋_GB2312" w:asciiTheme="minorEastAsia" w:hAnsiTheme="minorEastAsia"/>
          <w:sz w:val="28"/>
          <w:szCs w:val="28"/>
        </w:rPr>
        <w:t>企业需求</w:t>
      </w:r>
      <w:r>
        <w:rPr>
          <w:rFonts w:hint="eastAsia" w:cs="仿宋_GB2312" w:asciiTheme="minorEastAsia" w:hAnsiTheme="minorEastAsia"/>
          <w:sz w:val="28"/>
          <w:szCs w:val="28"/>
        </w:rPr>
        <w:t>及专业特点</w:t>
      </w:r>
      <w:r>
        <w:rPr>
          <w:rFonts w:cs="仿宋_GB2312" w:asciiTheme="minorEastAsia" w:hAnsiTheme="minorEastAsia"/>
          <w:sz w:val="28"/>
          <w:szCs w:val="28"/>
        </w:rPr>
        <w:t>，</w:t>
      </w:r>
      <w:r>
        <w:rPr>
          <w:rFonts w:hint="eastAsia" w:cs="仿宋_GB2312" w:asciiTheme="minorEastAsia" w:hAnsiTheme="minorEastAsia"/>
          <w:sz w:val="28"/>
          <w:szCs w:val="28"/>
        </w:rPr>
        <w:t>分别</w:t>
      </w:r>
      <w:r>
        <w:rPr>
          <w:rFonts w:cs="仿宋_GB2312" w:asciiTheme="minorEastAsia" w:hAnsiTheme="minorEastAsia"/>
          <w:sz w:val="28"/>
          <w:szCs w:val="28"/>
        </w:rPr>
        <w:t>以</w:t>
      </w:r>
      <w:r>
        <w:rPr>
          <w:rFonts w:hint="eastAsia" w:cs="仿宋_GB2312" w:asciiTheme="minorEastAsia" w:hAnsiTheme="minorEastAsia"/>
          <w:sz w:val="28"/>
          <w:szCs w:val="28"/>
        </w:rPr>
        <w:t>“冠名</w:t>
      </w:r>
      <w:r>
        <w:rPr>
          <w:rFonts w:cs="仿宋_GB2312" w:asciiTheme="minorEastAsia" w:hAnsiTheme="minorEastAsia"/>
          <w:sz w:val="28"/>
          <w:szCs w:val="28"/>
        </w:rPr>
        <w:t>订单式</w:t>
      </w:r>
      <w:r>
        <w:rPr>
          <w:rFonts w:hint="eastAsia" w:cs="仿宋_GB2312" w:asciiTheme="minorEastAsia" w:hAnsiTheme="minorEastAsia"/>
          <w:sz w:val="28"/>
          <w:szCs w:val="28"/>
        </w:rPr>
        <w:t>”、“现代学徒制试点”、“产教融合”等形式</w:t>
      </w:r>
      <w:r>
        <w:rPr>
          <w:rFonts w:cs="仿宋_GB2312" w:asciiTheme="minorEastAsia" w:hAnsiTheme="minorEastAsia"/>
          <w:sz w:val="28"/>
          <w:szCs w:val="28"/>
        </w:rPr>
        <w:t>与</w:t>
      </w:r>
      <w:r>
        <w:rPr>
          <w:rFonts w:hint="eastAsia" w:ascii="宋体" w:hAnsi="宋体" w:eastAsia="宋体" w:cs="宋体"/>
          <w:sz w:val="28"/>
          <w:szCs w:val="28"/>
        </w:rPr>
        <w:t>陕汽集团、宝鸡吉利汽车、三星电子（中国）有限公司、中兴通讯</w:t>
      </w:r>
      <w:r>
        <w:rPr>
          <w:rFonts w:hint="eastAsia" w:cs="仿宋_GB2312" w:asciiTheme="minorEastAsia" w:hAnsiTheme="minorEastAsia"/>
          <w:color w:val="000000" w:themeColor="text1"/>
          <w:sz w:val="28"/>
          <w:szCs w:val="28"/>
          <w14:textFill>
            <w14:solidFill>
              <w14:schemeClr w14:val="tx1"/>
            </w14:solidFill>
          </w14:textFill>
        </w:rPr>
        <w:t>等10余家名企签订冠</w:t>
      </w:r>
      <w:r>
        <w:rPr>
          <w:rFonts w:hint="eastAsia" w:cs="仿宋_GB2312" w:asciiTheme="minorEastAsia" w:hAnsiTheme="minorEastAsia"/>
          <w:sz w:val="28"/>
          <w:szCs w:val="28"/>
        </w:rPr>
        <w:t>名</w:t>
      </w:r>
      <w:r>
        <w:rPr>
          <w:rFonts w:cs="仿宋_GB2312" w:asciiTheme="minorEastAsia" w:hAnsiTheme="minorEastAsia"/>
          <w:sz w:val="28"/>
          <w:szCs w:val="28"/>
        </w:rPr>
        <w:t>订单</w:t>
      </w:r>
      <w:r>
        <w:rPr>
          <w:rFonts w:hint="eastAsia" w:cs="仿宋_GB2312" w:asciiTheme="minorEastAsia" w:hAnsiTheme="minorEastAsia"/>
          <w:sz w:val="28"/>
          <w:szCs w:val="28"/>
        </w:rPr>
        <w:t>合作协议，</w:t>
      </w:r>
      <w:r>
        <w:rPr>
          <w:rFonts w:cs="仿宋_GB2312" w:asciiTheme="minorEastAsia" w:hAnsiTheme="minorEastAsia"/>
          <w:sz w:val="28"/>
          <w:szCs w:val="28"/>
        </w:rPr>
        <w:t>学校毕业生也源源不断地进入这些企业</w:t>
      </w:r>
      <w:r>
        <w:rPr>
          <w:rFonts w:hint="eastAsia" w:cs="仿宋_GB2312" w:asciiTheme="minorEastAsia" w:hAnsiTheme="minorEastAsia"/>
          <w:sz w:val="28"/>
          <w:szCs w:val="28"/>
        </w:rPr>
        <w:t>，为校企深度融合奠定了坚实基础，强化了行业企业参与职业教育、指导教育教学的积极作用。</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4.2 学生实习情况</w:t>
      </w:r>
    </w:p>
    <w:p>
      <w:pPr>
        <w:ind w:firstLine="560" w:firstLineChars="200"/>
        <w:rPr>
          <w:rFonts w:asciiTheme="minorEastAsia" w:hAnsiTheme="minorEastAsia"/>
          <w:sz w:val="28"/>
          <w:szCs w:val="28"/>
        </w:rPr>
      </w:pPr>
      <w:r>
        <w:rPr>
          <w:rFonts w:hint="eastAsia" w:cs="仿宋_GB2312" w:asciiTheme="minorEastAsia" w:hAnsiTheme="minorEastAsia"/>
          <w:sz w:val="28"/>
          <w:szCs w:val="28"/>
        </w:rPr>
        <w:t>学校认真落实国家五部委印发的《职业学校学生实习管理规定》和教育部印发的《职业学校专业（类）顶岗实习标准》文件精神。先后制定了《校企合作对话机制》、《校企合作管理办法》、《校企人才共育管理办法》、《校企合作 工学结合教学质量监控办法》、《学生顶岗实习管理办法》、《校外实训实习基地学生管理办法》、《教师到企业实践管理办法》等制度。严格按《职业学校学生实习管理规定》要求，将顶岗实习时间由原来的“一年”调整为“半年”，人才培养模式由过去的“2+1”改为“2.5+0.5”。同时，严格执行各专业人才培养方案，抓好实习实训环节，做好学生校内专业实训及企业顶岗实习。</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4.3 集团化办学情况</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陕西机电职业教育集团”于2008年4月经陕西省教育厅批准挂牌成立，我校为牵头单位，联合了省内2所高职院校、23所中职学校以及职教中心、51家大中型骨干企业等单位参加。按照“自愿平等、资源共享、优势互补、互惠互利、共同发展”的原则，在省教育厅的领导下，在行业和企业的指导和参与下，学校以行业为背景，以企业为依托，以专业为纽带，促进校企合作办学、合作育人、合作就业、合作发展，在集团内形成了学校资源与企业资源有机融合、学校育人与企业用工紧密结合、中职教育与高职教育有效衔接的办学模式。集团为理事会领导下的各成员单位参与的产教联合体，成立了集团理事会和集团秘书处，创造条件争取每年召开一次理事工作会，以加强集团内成员间的联系，深化校企合作的内涵。</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集团能认真贯彻落实《国务院关于大力发展职业教育的决定》及省教育厅关于大力推进职业教育集团化办学的有关意见和要求，紧扣机电产业发展需求，围绕机电技能人才培养搭建交流合作平台，积极探索校际合作、校企合作的创新之路。发挥合作和联合优势，在更高的平台上和更广的范围内实现机电职业教育资源与市场资源的有机联合，相互渗透、相互作用、相互转化，进一步整合优化机电类职业教育资源，实现最佳配置，提高整个集团的办学质量和行业效益。以机电类专业群建设、人才链建设和企业用人标准为切入点，深化职业教育改革，不断满足社会对各类技能型人才日益迫切的需求。</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5.社会贡献</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5.1技术技能人才培养</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不断深化校企合作、产教融合，教育教学紧密贴合产业发展，服务经济建设，充分发挥学校技能人才培养主阵地和专业教师技术专长，积极践行“大众创业、万众创新”和“智能制造”，为企业提供在岗职工技术培训以及给企业输送适岗技能人才，使企业员工整体技能水平得到提升。学校培育出的大批具有专业技能与工匠精神的高素质劳动者，为企业发展储备了适岗技能人才，在促进行业企业经济发展和产业升级、带动扩大就业和脱贫攻坚中做出了比较突出的贡献。</w:t>
      </w:r>
      <w:bookmarkStart w:id="0" w:name="_Toc525136632"/>
      <w:r>
        <w:rPr>
          <w:rFonts w:hint="eastAsia" w:cs="仿宋_GB2312" w:asciiTheme="minorEastAsia" w:hAnsiTheme="minorEastAsia"/>
          <w:sz w:val="28"/>
          <w:szCs w:val="28"/>
        </w:rPr>
        <w:t>学校的技能人才培养工作得到了企业、社会和政府的一致好评，被国家人力资源和社会保障部评为“高技能人才培训突出贡献奖”。</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5.2社会服务</w:t>
      </w:r>
      <w:bookmarkEnd w:id="0"/>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学校充分利用校内实习实训设备及现有教学条件，先后承担各类技能大赛赛事、组织各类短期培训和社会各类考试工作，为学校进一步发展奠定了良好基础。</w:t>
      </w:r>
    </w:p>
    <w:p>
      <w:pPr>
        <w:adjustRightInd w:val="0"/>
        <w:spacing w:line="360" w:lineRule="auto"/>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围绕渭南市区域产业结构调整和转型升级，积极发挥学校在技能人才培训、企业员工在职技能提升、技能鉴定等功能。一年来，先后完成了12次大型培训及考试，共计2.2万余人次；完成企业职工培训450余人次；承担了渭南市首届“高新工匠”评选实操技能竞赛、第一届中华人民共和国全国职业技能大赛陕西省选拔赛等赛事。</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5.3对口支援</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学校克服资金紧张的困难，积极筹措资金，根据帮扶村的情况，精准扶贫。一是资助贫困户大学生上学；二是产业引导进户，资助贫困群众，为贫困户补贴冬季和夏季生产资料；三是推进帮扶村党建工作；四是支持帮扶村“爱心捐款”、组织帮扶村“爱心水果”进校园，教职工积极认购，用于支持帮扶村公益事业；五是看望慰问贫困党员、干部和群众，送去慰问品、慰问金。</w:t>
      </w:r>
      <w:r>
        <w:rPr>
          <w:rFonts w:cs="仿宋_GB2312" w:asciiTheme="minorEastAsia" w:hAnsiTheme="minorEastAsia"/>
          <w:color w:val="000000" w:themeColor="text1"/>
          <w:sz w:val="28"/>
          <w:szCs w:val="28"/>
          <w14:textFill>
            <w14:solidFill>
              <w14:schemeClr w14:val="tx1"/>
            </w14:solidFill>
          </w14:textFill>
        </w:rPr>
        <w:t xml:space="preserve"> </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学校响应渭南市政府号召，教职工积极参与慈善捐款活动，共计捐款22909元，为社会慈善事业奉献一片爱心。</w:t>
      </w:r>
      <w:bookmarkStart w:id="1" w:name="_Toc525136633"/>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5.4服务抗疫</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疫情期间，学校党委号召动员全体党员进入社区临时党支部，冲在防疫一线值勤值班。</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克服疫情对教育教学的干扰，先后组织教师参加蓝墨云班课、线上教师教学能力水平提升、线上教学设计培训、陕西省技工院校教学能手示范公开课、中职院校师资培训、思政融合课堂和混合式教学培训、素质提高计划（国培）、钉钉系统等信息化教学方法培训和学习，先后达 460余人次。其中，疫情期间参加线上培训表现突出的10名教师被陕西省技工学校指导中心给予了表彰奖励。</w:t>
      </w:r>
    </w:p>
    <w:bookmarkEnd w:id="1"/>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6.政府履责</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6.1经费</w:t>
      </w:r>
    </w:p>
    <w:p>
      <w:pPr>
        <w:pStyle w:val="9"/>
        <w:spacing w:beforeAutospacing="0" w:afterAutospacing="0"/>
        <w:ind w:firstLine="560" w:firstLineChars="200"/>
        <w:jc w:val="both"/>
        <w:rPr>
          <w:rFonts w:cs="仿宋_GB2312" w:asciiTheme="minorEastAsia" w:hAnsiTheme="minorEastAsia" w:eastAsiaTheme="minorEastAsia"/>
          <w:kern w:val="2"/>
          <w:sz w:val="28"/>
          <w:szCs w:val="28"/>
        </w:rPr>
      </w:pPr>
      <w:r>
        <w:rPr>
          <w:rFonts w:hint="eastAsia" w:cs="仿宋_GB2312" w:asciiTheme="minorEastAsia" w:hAnsiTheme="minorEastAsia" w:eastAsiaTheme="minorEastAsia"/>
          <w:kern w:val="2"/>
          <w:sz w:val="28"/>
          <w:szCs w:val="28"/>
        </w:rPr>
        <w:t>学校是渭南市政府直属的全额财政拨款事业单位，其经费来源主要包括财政拨款、学费等事业收入和其他收入等3个方面，2020年度国家免学费补助666.64万元、国家助学金75.7万元。截止目前，学校尚未收到过生均拨款。</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建立有健全的财务和资产管理制度，资金的收入和支出严格按照学校财务管理制度执行；在专项资金管理上，学校严格执行《专项资金管理暂行办法》，明确专项资金来源、使用范围、开支标准、审批人员及流程、明确相关人员的责任，做到项目资金专款专用；政策性经费、项目投入经费能及时到位，严格执行财务制度，保证了财务、资产管理制度的健全、规范及执行的有效性。</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6.2政策措施</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学校现有教职工417人（其中，在编教职工383人）。除了34名人事代理人员，其他教师已全部落实了编制，并建立了教师培养长效机制。</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在师资队伍建设方面，学校根据专业设置调整变化，采取“引进、培养、聘请”相结合的方式方法，着力打造专业知识渊博，操作技能过硬的“双师型”教师团队。</w:t>
      </w:r>
    </w:p>
    <w:p>
      <w:pPr>
        <w:pStyle w:val="9"/>
        <w:spacing w:beforeAutospacing="0" w:afterAutospacing="0"/>
        <w:ind w:firstLine="560" w:firstLineChars="200"/>
        <w:jc w:val="both"/>
        <w:rPr>
          <w:rFonts w:cs="仿宋_GB2312" w:asciiTheme="minorEastAsia" w:hAnsiTheme="minorEastAsia" w:eastAsiaTheme="minorEastAsia"/>
          <w:kern w:val="2"/>
          <w:sz w:val="28"/>
          <w:szCs w:val="28"/>
        </w:rPr>
      </w:pPr>
      <w:r>
        <w:rPr>
          <w:rFonts w:hint="eastAsia" w:cs="仿宋_GB2312" w:asciiTheme="minorEastAsia" w:hAnsiTheme="minorEastAsia" w:eastAsiaTheme="minorEastAsia"/>
          <w:kern w:val="2"/>
          <w:sz w:val="28"/>
          <w:szCs w:val="28"/>
        </w:rPr>
        <w:t>为了更好地加强师资队伍建设，优化师资队伍结构，建立教师培养培训长效机制，学校先后出台了《教师行为规范要求》、《“双师型”教师培养方案》、《教师培训要求》等相关制度，尤其注重“双师型”教师的培训培养，鼓励教师通过多种形式的实践和培训，提升专业技能。</w:t>
      </w:r>
    </w:p>
    <w:p>
      <w:pPr>
        <w:pStyle w:val="9"/>
        <w:spacing w:beforeAutospacing="0" w:afterAutospacing="0"/>
        <w:ind w:firstLine="420" w:firstLineChars="150"/>
        <w:jc w:val="both"/>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学校注重教师实践技能提高，</w:t>
      </w:r>
      <w:r>
        <w:rPr>
          <w:rFonts w:hint="eastAsia" w:cs="仿宋_GB2312" w:asciiTheme="minorEastAsia" w:hAnsiTheme="minorEastAsia" w:eastAsiaTheme="minorEastAsia"/>
          <w:color w:val="000000" w:themeColor="text1"/>
          <w:kern w:val="2"/>
          <w:sz w:val="28"/>
          <w:szCs w:val="28"/>
          <w14:textFill>
            <w14:solidFill>
              <w14:schemeClr w14:val="tx1"/>
            </w14:solidFill>
          </w14:textFill>
        </w:rPr>
        <w:t>先后出台了《教师到企业实践管理办法》、《教师企业实践考核办法》等制度，大力推进和鼓励专业课教师进企业实践，要求专业教师每两年到企业参加生产实践活动不少于两个月。同时，有计划地选派骨干专业教师赴企业顶岗工作，提高专业教师的实践能力。</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7.特色创新</w:t>
      </w:r>
    </w:p>
    <w:p>
      <w:pPr>
        <w:spacing w:before="312" w:beforeLines="100" w:after="312" w:afterLines="100"/>
        <w:ind w:firstLine="562" w:firstLineChars="200"/>
        <w:rPr>
          <w:rFonts w:asciiTheme="minorEastAsia" w:hAnsiTheme="minorEastAsia"/>
          <w:b/>
          <w:sz w:val="28"/>
          <w:szCs w:val="28"/>
        </w:rPr>
      </w:pPr>
      <w:r>
        <w:rPr>
          <w:rFonts w:hint="eastAsia" w:asciiTheme="minorEastAsia" w:hAnsiTheme="minorEastAsia"/>
          <w:b/>
          <w:sz w:val="28"/>
          <w:szCs w:val="28"/>
        </w:rPr>
        <w:t>案例１：</w:t>
      </w:r>
    </w:p>
    <w:p>
      <w:pPr>
        <w:spacing w:before="156" w:beforeLines="50" w:after="156" w:afterLines="50"/>
        <w:jc w:val="center"/>
        <w:rPr>
          <w:rFonts w:ascii="宋体" w:hAnsi="宋体" w:eastAsia="宋体"/>
          <w:b/>
          <w:bCs/>
          <w:sz w:val="30"/>
          <w:szCs w:val="30"/>
        </w:rPr>
      </w:pPr>
      <w:r>
        <w:rPr>
          <w:rFonts w:hint="eastAsia" w:ascii="宋体" w:hAnsi="宋体" w:eastAsia="宋体"/>
          <w:b/>
          <w:bCs/>
          <w:sz w:val="30"/>
          <w:szCs w:val="30"/>
        </w:rPr>
        <w:t>开展</w:t>
      </w:r>
      <w:bookmarkStart w:id="2" w:name="_Hlk23798046"/>
      <w:r>
        <w:rPr>
          <w:rFonts w:hint="eastAsia" w:ascii="宋体" w:hAnsi="宋体" w:eastAsia="宋体"/>
          <w:b/>
          <w:bCs/>
          <w:sz w:val="30"/>
          <w:szCs w:val="30"/>
        </w:rPr>
        <w:t>移动端教学实践</w:t>
      </w:r>
      <w:bookmarkEnd w:id="2"/>
      <w:r>
        <w:rPr>
          <w:rFonts w:hint="eastAsia" w:ascii="宋体" w:hAnsi="宋体" w:eastAsia="宋体"/>
          <w:b/>
          <w:bCs/>
          <w:sz w:val="30"/>
          <w:szCs w:val="30"/>
        </w:rPr>
        <w:t xml:space="preserve"> </w:t>
      </w:r>
      <w:r>
        <w:rPr>
          <w:rFonts w:ascii="宋体" w:hAnsi="宋体" w:eastAsia="宋体"/>
          <w:b/>
          <w:bCs/>
          <w:sz w:val="30"/>
          <w:szCs w:val="30"/>
        </w:rPr>
        <w:t xml:space="preserve"> </w:t>
      </w:r>
      <w:r>
        <w:rPr>
          <w:rFonts w:hint="eastAsia" w:ascii="宋体" w:hAnsi="宋体" w:eastAsia="宋体"/>
          <w:b/>
          <w:bCs/>
          <w:sz w:val="30"/>
          <w:szCs w:val="30"/>
        </w:rPr>
        <w:t>探索新时代职校课改</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一、开展手机移动端教学实践的背景和意义</w:t>
      </w:r>
      <w:r>
        <w:rPr>
          <w:rFonts w:cs="仿宋_GB2312" w:asciiTheme="minorEastAsia" w:hAnsiTheme="minorEastAsia"/>
          <w:color w:val="000000" w:themeColor="text1"/>
          <w:sz w:val="28"/>
          <w:szCs w:val="28"/>
          <w14:textFill>
            <w14:solidFill>
              <w14:schemeClr w14:val="tx1"/>
            </w14:solidFill>
          </w14:textFill>
        </w:rPr>
        <w:t xml:space="preserve"> </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随着移动互联网的不断发展，智能手机、平板电脑等便携式移动终端设备已经成为当前技工院校学生不可或缺的必需品，越来越多的学生喜欢用手机上网和使用</w:t>
      </w:r>
      <w:r>
        <w:rPr>
          <w:rFonts w:cs="仿宋_GB2312" w:asciiTheme="minorEastAsia" w:hAnsiTheme="minorEastAsia"/>
          <w:color w:val="000000" w:themeColor="text1"/>
          <w:sz w:val="28"/>
          <w:szCs w:val="28"/>
          <w14:textFill>
            <w14:solidFill>
              <w14:schemeClr w14:val="tx1"/>
            </w14:solidFill>
          </w14:textFill>
        </w:rPr>
        <w:t>APP等应用软件进行学习交流，在移动互联网时代，学习方式和教学方式皆发生变化。近年来,随着职业教育改革的不断发展和加工制造行业的不断创新,特别是《国务院关于加快发展现代职业教育的决定》的颁布和《中国制造2025》的实施,给技工教育带来了新的机遇和挑战，</w:t>
      </w:r>
      <w:r>
        <w:rPr>
          <w:rFonts w:hint="eastAsia" w:cs="仿宋_GB2312" w:asciiTheme="minorEastAsia" w:hAnsiTheme="minorEastAsia"/>
          <w:color w:val="000000" w:themeColor="text1"/>
          <w:sz w:val="28"/>
          <w:szCs w:val="28"/>
          <w14:textFill>
            <w14:solidFill>
              <w14:schemeClr w14:val="tx1"/>
            </w14:solidFill>
          </w14:textFill>
        </w:rPr>
        <w:t>我院</w:t>
      </w:r>
      <w:r>
        <w:rPr>
          <w:rFonts w:cs="仿宋_GB2312" w:asciiTheme="minorEastAsia" w:hAnsiTheme="minorEastAsia"/>
          <w:color w:val="000000" w:themeColor="text1"/>
          <w:sz w:val="28"/>
          <w:szCs w:val="28"/>
          <w14:textFill>
            <w14:solidFill>
              <w14:schemeClr w14:val="tx1"/>
            </w14:solidFill>
          </w14:textFill>
        </w:rPr>
        <w:t>数控专业教学依托移动互联网发展进行教学改革研究，势在必行</w:t>
      </w:r>
      <w:r>
        <w:rPr>
          <w:rFonts w:hint="eastAsia" w:cs="仿宋_GB2312" w:asciiTheme="minorEastAsia" w:hAnsiTheme="minorEastAsia"/>
          <w:color w:val="000000" w:themeColor="text1"/>
          <w:sz w:val="28"/>
          <w:szCs w:val="28"/>
          <w14:textFill>
            <w14:solidFill>
              <w14:schemeClr w14:val="tx1"/>
            </w14:solidFill>
          </w14:textFill>
        </w:rPr>
        <w:t>，学院结合实际，选取《数控车加工技术》课程开展手机移动端教学改革实践。</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二、开展手机移动端教学实践的目标</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1</w:t>
      </w:r>
      <w:r>
        <w:rPr>
          <w:rFonts w:cs="仿宋_GB2312" w:asciiTheme="minorEastAsia" w:hAnsiTheme="minorEastAsia"/>
          <w:color w:val="000000" w:themeColor="text1"/>
          <w:sz w:val="28"/>
          <w:szCs w:val="28"/>
          <w14:textFill>
            <w14:solidFill>
              <w14:schemeClr w14:val="tx1"/>
            </w14:solidFill>
          </w14:textFill>
        </w:rPr>
        <w:t>.顺应国家对教育改革创新的要求，以信息化促进人才培养模式改革，改变传统教学方式，提升学校信息化水平。</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2</w:t>
      </w:r>
      <w:r>
        <w:rPr>
          <w:rFonts w:cs="仿宋_GB2312" w:asciiTheme="minorEastAsia" w:hAnsiTheme="minorEastAsia"/>
          <w:color w:val="000000" w:themeColor="text1"/>
          <w:sz w:val="28"/>
          <w:szCs w:val="28"/>
          <w14:textFill>
            <w14:solidFill>
              <w14:schemeClr w14:val="tx1"/>
            </w14:solidFill>
          </w14:textFill>
        </w:rPr>
        <w:t>.通过移动教学平台的建设，</w:t>
      </w:r>
      <w:r>
        <w:rPr>
          <w:rFonts w:hint="eastAsia" w:cs="仿宋_GB2312" w:asciiTheme="minorEastAsia" w:hAnsiTheme="minorEastAsia"/>
          <w:color w:val="000000" w:themeColor="text1"/>
          <w:sz w:val="28"/>
          <w:szCs w:val="28"/>
          <w14:textFill>
            <w14:solidFill>
              <w14:schemeClr w14:val="tx1"/>
            </w14:solidFill>
          </w14:textFill>
        </w:rPr>
        <w:t>将示范校建设成果有效转化应用，</w:t>
      </w:r>
      <w:r>
        <w:rPr>
          <w:rFonts w:cs="仿宋_GB2312" w:asciiTheme="minorEastAsia" w:hAnsiTheme="minorEastAsia"/>
          <w:color w:val="000000" w:themeColor="text1"/>
          <w:sz w:val="28"/>
          <w:szCs w:val="28"/>
          <w14:textFill>
            <w14:solidFill>
              <w14:schemeClr w14:val="tx1"/>
            </w14:solidFill>
          </w14:textFill>
        </w:rPr>
        <w:t>开展手机移动端教学改革实践，提高教师信息化教学能力。</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3</w:t>
      </w:r>
      <w:r>
        <w:rPr>
          <w:rFonts w:cs="仿宋_GB2312" w:asciiTheme="minorEastAsia" w:hAnsiTheme="minorEastAsia"/>
          <w:color w:val="000000" w:themeColor="text1"/>
          <w:sz w:val="28"/>
          <w:szCs w:val="28"/>
          <w14:textFill>
            <w14:solidFill>
              <w14:schemeClr w14:val="tx1"/>
            </w14:solidFill>
          </w14:textFill>
        </w:rPr>
        <w:t>.通过移动学习与一体化相结合的模式，提供有针对性的学习资源和学习指导，</w:t>
      </w:r>
      <w:r>
        <w:rPr>
          <w:rFonts w:hint="eastAsia" w:cs="仿宋_GB2312" w:asciiTheme="minorEastAsia" w:hAnsiTheme="minorEastAsia"/>
          <w:color w:val="000000" w:themeColor="text1"/>
          <w:sz w:val="28"/>
          <w:szCs w:val="28"/>
          <w14:textFill>
            <w14:solidFill>
              <w14:schemeClr w14:val="tx1"/>
            </w14:solidFill>
          </w14:textFill>
        </w:rPr>
        <w:t>给学生带来了全新的学习体验，提高了学生学习兴趣和自主学习能力</w:t>
      </w:r>
      <w:r>
        <w:rPr>
          <w:rFonts w:cs="仿宋_GB2312" w:asciiTheme="minorEastAsia" w:hAnsiTheme="minorEastAsia"/>
          <w:color w:val="000000" w:themeColor="text1"/>
          <w:sz w:val="28"/>
          <w:szCs w:val="28"/>
          <w14:textFill>
            <w14:solidFill>
              <w14:schemeClr w14:val="tx1"/>
            </w14:solidFill>
          </w14:textFill>
        </w:rPr>
        <w:t>。</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4</w:t>
      </w:r>
      <w:r>
        <w:rPr>
          <w:rFonts w:cs="仿宋_GB2312" w:asciiTheme="minorEastAsia" w:hAnsiTheme="minorEastAsia"/>
          <w:color w:val="000000" w:themeColor="text1"/>
          <w:sz w:val="28"/>
          <w:szCs w:val="28"/>
          <w14:textFill>
            <w14:solidFill>
              <w14:schemeClr w14:val="tx1"/>
            </w14:solidFill>
          </w14:textFill>
        </w:rPr>
        <w:t>.通过</w:t>
      </w:r>
      <w:r>
        <w:rPr>
          <w:rFonts w:hint="eastAsia" w:cs="仿宋_GB2312" w:asciiTheme="minorEastAsia" w:hAnsiTheme="minorEastAsia"/>
          <w:color w:val="000000" w:themeColor="text1"/>
          <w:sz w:val="28"/>
          <w:szCs w:val="28"/>
          <w14:textFill>
            <w14:solidFill>
              <w14:schemeClr w14:val="tx1"/>
            </w14:solidFill>
          </w14:textFill>
        </w:rPr>
        <w:t>数控专业课程手机移动端教学改革实践</w:t>
      </w:r>
      <w:r>
        <w:rPr>
          <w:rFonts w:cs="仿宋_GB2312" w:asciiTheme="minorEastAsia" w:hAnsiTheme="minorEastAsia"/>
          <w:color w:val="000000" w:themeColor="text1"/>
          <w:sz w:val="28"/>
          <w:szCs w:val="28"/>
          <w14:textFill>
            <w14:solidFill>
              <w14:schemeClr w14:val="tx1"/>
            </w14:solidFill>
          </w14:textFill>
        </w:rPr>
        <w:t>，为我</w:t>
      </w:r>
      <w:r>
        <w:rPr>
          <w:rFonts w:hint="eastAsia" w:cs="仿宋_GB2312" w:asciiTheme="minorEastAsia" w:hAnsiTheme="minorEastAsia"/>
          <w:color w:val="000000" w:themeColor="text1"/>
          <w:sz w:val="28"/>
          <w:szCs w:val="28"/>
          <w14:textFill>
            <w14:solidFill>
              <w14:schemeClr w14:val="tx1"/>
            </w14:solidFill>
          </w14:textFill>
        </w:rPr>
        <w:t>院其他专业教学</w:t>
      </w:r>
      <w:r>
        <w:rPr>
          <w:rFonts w:cs="仿宋_GB2312" w:asciiTheme="minorEastAsia" w:hAnsiTheme="minorEastAsia"/>
          <w:color w:val="000000" w:themeColor="text1"/>
          <w:sz w:val="28"/>
          <w:szCs w:val="28"/>
          <w14:textFill>
            <w14:solidFill>
              <w14:schemeClr w14:val="tx1"/>
            </w14:solidFill>
          </w14:textFill>
        </w:rPr>
        <w:t>改革提供新的方向和思路。</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三、</w:t>
      </w:r>
      <w:bookmarkStart w:id="3" w:name="_Hlk23796379"/>
      <w:r>
        <w:rPr>
          <w:rFonts w:hint="eastAsia" w:cs="仿宋_GB2312" w:asciiTheme="minorEastAsia" w:hAnsiTheme="minorEastAsia"/>
          <w:color w:val="000000" w:themeColor="text1"/>
          <w:sz w:val="28"/>
          <w:szCs w:val="28"/>
          <w14:textFill>
            <w14:solidFill>
              <w14:schemeClr w14:val="tx1"/>
            </w14:solidFill>
          </w14:textFill>
        </w:rPr>
        <w:t>《数控车加工技术》课程手机移动端</w:t>
      </w:r>
      <w:bookmarkEnd w:id="3"/>
      <w:r>
        <w:rPr>
          <w:rFonts w:hint="eastAsia" w:cs="仿宋_GB2312" w:asciiTheme="minorEastAsia" w:hAnsiTheme="minorEastAsia"/>
          <w:color w:val="000000" w:themeColor="text1"/>
          <w:sz w:val="28"/>
          <w:szCs w:val="28"/>
          <w14:textFill>
            <w14:solidFill>
              <w14:schemeClr w14:val="tx1"/>
            </w14:solidFill>
          </w14:textFill>
        </w:rPr>
        <w:t>教学平台的开发</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由于手机移动终端的特殊性，使得借助手机终端实施的新型混合式学习具备了许多传统教学甚至是传统网络教学所不具备的优点。</w:t>
      </w:r>
      <w:r>
        <w:rPr>
          <w:rFonts w:hint="eastAsia" w:cs="仿宋_GB2312" w:asciiTheme="minorEastAsia" w:hAnsiTheme="minorEastAsia"/>
          <w:color w:val="000000" w:themeColor="text1"/>
          <w:sz w:val="28"/>
          <w:szCs w:val="28"/>
          <w14:textFill>
            <w14:solidFill>
              <w14:schemeClr w14:val="tx1"/>
            </w14:solidFill>
          </w14:textFill>
        </w:rPr>
        <w:t>移动端教学平台和配套教学资源在开发建设时，我院依据以下三个</w:t>
      </w:r>
      <w:r>
        <w:rPr>
          <w:rFonts w:cs="仿宋_GB2312" w:asciiTheme="minorEastAsia" w:hAnsiTheme="minorEastAsia"/>
          <w:color w:val="000000" w:themeColor="text1"/>
          <w:sz w:val="28"/>
          <w:szCs w:val="28"/>
          <w14:textFill>
            <w14:solidFill>
              <w14:schemeClr w14:val="tx1"/>
            </w14:solidFill>
          </w14:textFill>
        </w:rPr>
        <w:t>原则：</w:t>
      </w:r>
    </w:p>
    <w:p>
      <w:pPr>
        <w:ind w:firstLine="643"/>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1.目标导向原则</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教学的第一步，就是要制定明确的教学目标，包括知识目标、能力目标等，有了目标才能够真正确定教学方向，根据所确定的方向，再按照手机移动终端新型混合式习模式的步骤，逐步确定接下来的每一步。</w:t>
      </w:r>
    </w:p>
    <w:p>
      <w:pPr>
        <w:ind w:firstLine="643"/>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2.主导、主体相结合的原则</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在教学中占主导位置的教师，主体则是学生，</w:t>
      </w:r>
      <w:r>
        <w:rPr>
          <w:rFonts w:hint="eastAsia" w:cs="仿宋_GB2312" w:asciiTheme="minorEastAsia" w:hAnsiTheme="minorEastAsia"/>
          <w:color w:val="000000" w:themeColor="text1"/>
          <w:sz w:val="28"/>
          <w:szCs w:val="28"/>
          <w14:textFill>
            <w14:solidFill>
              <w14:schemeClr w14:val="tx1"/>
            </w14:solidFill>
          </w14:textFill>
        </w:rPr>
        <w:t>《数控车加工技术》课程手机移动端教学平台</w:t>
      </w:r>
      <w:r>
        <w:rPr>
          <w:rFonts w:cs="仿宋_GB2312" w:asciiTheme="minorEastAsia" w:hAnsiTheme="minorEastAsia"/>
          <w:color w:val="000000" w:themeColor="text1"/>
          <w:sz w:val="28"/>
          <w:szCs w:val="28"/>
          <w14:textFill>
            <w14:solidFill>
              <w14:schemeClr w14:val="tx1"/>
            </w14:solidFill>
          </w14:textFill>
        </w:rPr>
        <w:t>充分将教师与学生双方紧密联系起来，发挥各自的作用，将教学效果最大化。</w:t>
      </w:r>
    </w:p>
    <w:p>
      <w:pPr>
        <w:ind w:firstLine="643"/>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3.整体性</w:t>
      </w:r>
      <w:r>
        <w:rPr>
          <w:rFonts w:hint="eastAsia" w:cs="仿宋_GB2312" w:asciiTheme="minorEastAsia" w:hAnsiTheme="minorEastAsia"/>
          <w:color w:val="000000" w:themeColor="text1"/>
          <w:sz w:val="28"/>
          <w:szCs w:val="28"/>
          <w14:textFill>
            <w14:solidFill>
              <w14:schemeClr w14:val="tx1"/>
            </w14:solidFill>
          </w14:textFill>
        </w:rPr>
        <w:t>的原则。这种新型教学模式虽然明确由传统教学与手机移动终端相结合，但二者却不能相互独立，而是要保持知识内容、结构等一致性，只有二者达到了整体性，才能够达到最终学习目标。</w:t>
      </w:r>
    </w:p>
    <w:p>
      <w:pPr>
        <w:ind w:firstLine="643"/>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四、《数控车加工技术》课程手机移动端教学实践的具体做法</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1.课堂基础学习。在针对</w:t>
      </w:r>
      <w:r>
        <w:rPr>
          <w:rFonts w:hint="eastAsia" w:cs="仿宋_GB2312" w:asciiTheme="minorEastAsia" w:hAnsiTheme="minorEastAsia"/>
          <w:color w:val="000000" w:themeColor="text1"/>
          <w:sz w:val="28"/>
          <w:szCs w:val="28"/>
          <w14:textFill>
            <w14:solidFill>
              <w14:schemeClr w14:val="tx1"/>
            </w14:solidFill>
          </w14:textFill>
        </w:rPr>
        <w:t>《数控车加工技术》课程</w:t>
      </w:r>
      <w:r>
        <w:rPr>
          <w:rFonts w:cs="仿宋_GB2312" w:asciiTheme="minorEastAsia" w:hAnsiTheme="minorEastAsia"/>
          <w:color w:val="000000" w:themeColor="text1"/>
          <w:sz w:val="28"/>
          <w:szCs w:val="28"/>
          <w14:textFill>
            <w14:solidFill>
              <w14:schemeClr w14:val="tx1"/>
            </w14:solidFill>
          </w14:textFill>
        </w:rPr>
        <w:t>的教学中，结合手机移动终端</w:t>
      </w:r>
      <w:r>
        <w:rPr>
          <w:rFonts w:hint="eastAsia" w:cs="仿宋_GB2312" w:asciiTheme="minorEastAsia" w:hAnsiTheme="minorEastAsia"/>
          <w:color w:val="000000" w:themeColor="text1"/>
          <w:sz w:val="28"/>
          <w:szCs w:val="28"/>
          <w14:textFill>
            <w14:solidFill>
              <w14:schemeClr w14:val="tx1"/>
            </w14:solidFill>
          </w14:textFill>
        </w:rPr>
        <w:t>采用了</w:t>
      </w:r>
      <w:r>
        <w:rPr>
          <w:rFonts w:cs="仿宋_GB2312" w:asciiTheme="minorEastAsia" w:hAnsiTheme="minorEastAsia"/>
          <w:color w:val="000000" w:themeColor="text1"/>
          <w:sz w:val="28"/>
          <w:szCs w:val="28"/>
          <w14:textFill>
            <w14:solidFill>
              <w14:schemeClr w14:val="tx1"/>
            </w14:solidFill>
          </w14:textFill>
        </w:rPr>
        <w:t>拓展学习模式。它是将现实中的课堂作为基础学习平台，同时利用手机移动终端做课前的预习和课后知识的拓展。通过实践，可以分析得出该模式的以下优点：首先是能够帮助自主学习能力较强的学生主体，满足个性化需求；其次是丰富了学习资源，每一位参与手机移动终端学习的学生都能够在这个平台学习并分享资源。通过拓展学习模式，能够激发</w:t>
      </w:r>
      <w:r>
        <w:rPr>
          <w:rFonts w:hint="eastAsia" w:cs="仿宋_GB2312" w:asciiTheme="minorEastAsia" w:hAnsiTheme="minorEastAsia"/>
          <w:color w:val="000000" w:themeColor="text1"/>
          <w:sz w:val="28"/>
          <w:szCs w:val="28"/>
          <w14:textFill>
            <w14:solidFill>
              <w14:schemeClr w14:val="tx1"/>
            </w14:solidFill>
          </w14:textFill>
        </w:rPr>
        <w:t>数控</w:t>
      </w:r>
      <w:r>
        <w:rPr>
          <w:rFonts w:cs="仿宋_GB2312" w:asciiTheme="minorEastAsia" w:hAnsiTheme="minorEastAsia"/>
          <w:color w:val="000000" w:themeColor="text1"/>
          <w:sz w:val="28"/>
          <w:szCs w:val="28"/>
          <w14:textFill>
            <w14:solidFill>
              <w14:schemeClr w14:val="tx1"/>
            </w14:solidFill>
          </w14:textFill>
        </w:rPr>
        <w:t>专业学生的学习积极性。</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2.课堂后继提升。结合</w:t>
      </w:r>
      <w:r>
        <w:rPr>
          <w:rFonts w:hint="eastAsia" w:cs="仿宋_GB2312" w:asciiTheme="minorEastAsia" w:hAnsiTheme="minorEastAsia"/>
          <w:color w:val="000000" w:themeColor="text1"/>
          <w:sz w:val="28"/>
          <w:szCs w:val="28"/>
          <w14:textFill>
            <w14:solidFill>
              <w14:schemeClr w14:val="tx1"/>
            </w14:solidFill>
          </w14:textFill>
        </w:rPr>
        <w:t>数控车加工技术</w:t>
      </w:r>
      <w:r>
        <w:rPr>
          <w:rFonts w:cs="仿宋_GB2312" w:asciiTheme="minorEastAsia" w:hAnsiTheme="minorEastAsia"/>
          <w:color w:val="000000" w:themeColor="text1"/>
          <w:sz w:val="28"/>
          <w:szCs w:val="28"/>
          <w14:textFill>
            <w14:solidFill>
              <w14:schemeClr w14:val="tx1"/>
            </w14:solidFill>
          </w14:textFill>
        </w:rPr>
        <w:t>知识</w:t>
      </w:r>
      <w:r>
        <w:rPr>
          <w:rFonts w:hint="eastAsia" w:cs="仿宋_GB2312" w:asciiTheme="minorEastAsia" w:hAnsiTheme="minorEastAsia"/>
          <w:color w:val="000000" w:themeColor="text1"/>
          <w:sz w:val="28"/>
          <w:szCs w:val="28"/>
          <w14:textFill>
            <w14:solidFill>
              <w14:schemeClr w14:val="tx1"/>
            </w14:solidFill>
          </w14:textFill>
        </w:rPr>
        <w:t>的</w:t>
      </w:r>
      <w:r>
        <w:rPr>
          <w:rFonts w:cs="仿宋_GB2312" w:asciiTheme="minorEastAsia" w:hAnsiTheme="minorEastAsia"/>
          <w:color w:val="000000" w:themeColor="text1"/>
          <w:sz w:val="28"/>
          <w:szCs w:val="28"/>
          <w14:textFill>
            <w14:solidFill>
              <w14:schemeClr w14:val="tx1"/>
            </w14:solidFill>
          </w14:textFill>
        </w:rPr>
        <w:t>复杂和特殊性，</w:t>
      </w:r>
      <w:r>
        <w:rPr>
          <w:rFonts w:hint="eastAsia" w:cs="仿宋_GB2312" w:asciiTheme="minorEastAsia" w:hAnsiTheme="minorEastAsia"/>
          <w:color w:val="000000" w:themeColor="text1"/>
          <w:sz w:val="28"/>
          <w:szCs w:val="28"/>
          <w14:textFill>
            <w14:solidFill>
              <w14:schemeClr w14:val="tx1"/>
            </w14:solidFill>
          </w14:textFill>
        </w:rPr>
        <w:t>采用了课前优先学习方式，该方式主要是鼓励学生结合自身学习状态，通过手机移动终端制定个人的学习安排，适用于自我学习效率较高的学生。整个过程主要是先通过教师发布的有关学习资料在课前进行基础学习，再在课堂上解决知识点上的一些漏洞，从而获得更深层次的学习理解。课前优先学习方式是将基础课堂搬到正式课堂前，通过学生的自主学习反馈的信息，能够使教师更清晰地了解到学生对知识的认知度，同时也提高了课堂学习的效率。</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3.课堂能力拔高。针对</w:t>
      </w:r>
      <w:r>
        <w:rPr>
          <w:rFonts w:hint="eastAsia" w:cs="仿宋_GB2312" w:asciiTheme="minorEastAsia" w:hAnsiTheme="minorEastAsia"/>
          <w:color w:val="000000" w:themeColor="text1"/>
          <w:sz w:val="28"/>
          <w:szCs w:val="28"/>
          <w14:textFill>
            <w14:solidFill>
              <w14:schemeClr w14:val="tx1"/>
            </w14:solidFill>
          </w14:textFill>
        </w:rPr>
        <w:t>中</w:t>
      </w:r>
      <w:r>
        <w:rPr>
          <w:rFonts w:cs="仿宋_GB2312" w:asciiTheme="minorEastAsia" w:hAnsiTheme="minorEastAsia"/>
          <w:color w:val="000000" w:themeColor="text1"/>
          <w:sz w:val="28"/>
          <w:szCs w:val="28"/>
          <w14:textFill>
            <w14:solidFill>
              <w14:schemeClr w14:val="tx1"/>
            </w14:solidFill>
          </w14:textFill>
        </w:rPr>
        <w:t>职人才培养的目标以及</w:t>
      </w:r>
      <w:r>
        <w:rPr>
          <w:rFonts w:hint="eastAsia" w:cs="仿宋_GB2312" w:asciiTheme="minorEastAsia" w:hAnsiTheme="minorEastAsia"/>
          <w:color w:val="000000" w:themeColor="text1"/>
          <w:sz w:val="28"/>
          <w:szCs w:val="28"/>
          <w14:textFill>
            <w14:solidFill>
              <w14:schemeClr w14:val="tx1"/>
            </w14:solidFill>
          </w14:textFill>
        </w:rPr>
        <w:t>数控</w:t>
      </w:r>
      <w:r>
        <w:rPr>
          <w:rFonts w:cs="仿宋_GB2312" w:asciiTheme="minorEastAsia" w:hAnsiTheme="minorEastAsia"/>
          <w:color w:val="000000" w:themeColor="text1"/>
          <w:sz w:val="28"/>
          <w:szCs w:val="28"/>
          <w14:textFill>
            <w14:solidFill>
              <w14:schemeClr w14:val="tx1"/>
            </w14:solidFill>
          </w14:textFill>
        </w:rPr>
        <w:t>专业特点，</w:t>
      </w:r>
      <w:r>
        <w:rPr>
          <w:rFonts w:hint="eastAsia" w:cs="仿宋_GB2312" w:asciiTheme="minorEastAsia" w:hAnsiTheme="minorEastAsia"/>
          <w:color w:val="000000" w:themeColor="text1"/>
          <w:sz w:val="28"/>
          <w:szCs w:val="28"/>
          <w14:textFill>
            <w14:solidFill>
              <w14:schemeClr w14:val="tx1"/>
            </w14:solidFill>
          </w14:textFill>
        </w:rPr>
        <w:t>利用手机移动端发挥一体化教学的优势</w:t>
      </w:r>
      <w:r>
        <w:rPr>
          <w:rFonts w:cs="仿宋_GB2312" w:asciiTheme="minorEastAsia" w:hAnsiTheme="minorEastAsia"/>
          <w:color w:val="000000" w:themeColor="text1"/>
          <w:sz w:val="28"/>
          <w:szCs w:val="28"/>
          <w14:textFill>
            <w14:solidFill>
              <w14:schemeClr w14:val="tx1"/>
            </w14:solidFill>
          </w14:textFill>
        </w:rPr>
        <w:t>，着重强调学习者的对</w:t>
      </w:r>
      <w:r>
        <w:rPr>
          <w:rFonts w:hint="eastAsia" w:cs="仿宋_GB2312" w:asciiTheme="minorEastAsia" w:hAnsiTheme="minorEastAsia"/>
          <w:color w:val="000000" w:themeColor="text1"/>
          <w:sz w:val="28"/>
          <w:szCs w:val="28"/>
          <w14:textFill>
            <w14:solidFill>
              <w14:schemeClr w14:val="tx1"/>
            </w14:solidFill>
          </w14:textFill>
        </w:rPr>
        <w:t>所学知识的转化能力以及动手能力，加强学习者之间的团结协作，促进相互交流。而该方式将交流的平台移到了手机移动终端上，老师针对所学知识点的能力目标，布置相关学习任务，学生组成小组共同完成任务后通过录制小视频或者拍摄图片的方式分享操作实践过程，各小组互相学习、共同进步。</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五、手机移动端教学实践成效显著</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《数控车加工技术》课程手机手机移动端教学实践将学习主动权交与学生，方便学生利用智能手机和零碎时间随时随地学习，既调动了学生自学的主动性，也提高了学习积极性，并且获得了较好的教学效果。</w:t>
      </w:r>
    </w:p>
    <w:p>
      <w:pPr>
        <w:spacing w:before="312" w:beforeLines="100" w:after="312" w:afterLines="100"/>
        <w:ind w:firstLine="562" w:firstLineChars="200"/>
        <w:rPr>
          <w:rFonts w:asciiTheme="minorEastAsia" w:hAnsiTheme="minorEastAsia"/>
          <w:b/>
          <w:sz w:val="28"/>
          <w:szCs w:val="28"/>
        </w:rPr>
      </w:pPr>
      <w:r>
        <w:rPr>
          <w:rFonts w:hint="eastAsia" w:asciiTheme="minorEastAsia" w:hAnsiTheme="minorEastAsia"/>
          <w:b/>
          <w:sz w:val="28"/>
          <w:szCs w:val="28"/>
        </w:rPr>
        <w:t>案例２：</w:t>
      </w:r>
    </w:p>
    <w:p>
      <w:pPr>
        <w:spacing w:before="156" w:beforeLines="50" w:after="156" w:afterLines="50"/>
        <w:jc w:val="center"/>
        <w:rPr>
          <w:rFonts w:ascii="宋体" w:hAnsi="宋体" w:eastAsia="宋体"/>
          <w:b/>
          <w:bCs/>
          <w:sz w:val="30"/>
          <w:szCs w:val="30"/>
        </w:rPr>
      </w:pPr>
      <w:r>
        <w:rPr>
          <w:rFonts w:hint="eastAsia" w:ascii="宋体" w:hAnsi="宋体" w:eastAsia="宋体"/>
          <w:b/>
          <w:bCs/>
          <w:sz w:val="30"/>
          <w:szCs w:val="30"/>
        </w:rPr>
        <w:t>校企合作教学模式应用研究案例</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一、实施背景</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提高人才培养的适用性是职业教育贯穿70年发展的主题</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从新中国成立伊始的半工半读教育形式到改革开放后的产教结合思想，从教育规划纲要提出的“工学结合、校企合作、顶岗实习</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，再到党的十九大报告中提出的</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产教融合、校企合作</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，我国职业教育的办学模式始终强调学校与企业的联系与合作，在持续深化的过程中不断拉近与产业的距离</w:t>
      </w:r>
      <w:r>
        <w:rPr>
          <w:rFonts w:hint="eastAsia" w:cs="仿宋_GB2312" w:asciiTheme="minorEastAsia" w:hAnsiTheme="minorEastAsia"/>
          <w:color w:val="000000" w:themeColor="text1"/>
          <w:sz w:val="28"/>
          <w:szCs w:val="28"/>
          <w14:textFill>
            <w14:solidFill>
              <w14:schemeClr w14:val="tx1"/>
            </w14:solidFill>
          </w14:textFill>
        </w:rPr>
        <w:t>。</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随着互联网、物联网、大数据等新技术的产生和发展，电子电信行业进入了产业调整的转型期，课题组成员与企业联系，相互交流沟通：企业生产产品、工作任务与学校开设课程、及实训内容。发现存在以下问题：</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1、电子电信专业相关企业众多，由于生产产品的差异性，企业对学生的知识、技能要求存在明显不同。教学内容没有紧跟企业行业发展节奏，影响学生专业技能培养及企业招聘需求。</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2、随着互联网的快速发展，物联网应用将电子电信行业带入一个崭新的平台，对应的智能设备生产制造、5</w:t>
      </w:r>
      <w:r>
        <w:rPr>
          <w:rFonts w:cs="仿宋_GB2312" w:asciiTheme="minorEastAsia" w:hAnsiTheme="minorEastAsia"/>
          <w:color w:val="000000" w:themeColor="text1"/>
          <w:sz w:val="28"/>
          <w:szCs w:val="28"/>
          <w14:textFill>
            <w14:solidFill>
              <w14:schemeClr w14:val="tx1"/>
            </w14:solidFill>
          </w14:textFill>
        </w:rPr>
        <w:t>G</w:t>
      </w:r>
      <w:r>
        <w:rPr>
          <w:rFonts w:hint="eastAsia" w:cs="仿宋_GB2312" w:asciiTheme="minorEastAsia" w:hAnsiTheme="minorEastAsia"/>
          <w:color w:val="000000" w:themeColor="text1"/>
          <w:sz w:val="28"/>
          <w:szCs w:val="28"/>
          <w14:textFill>
            <w14:solidFill>
              <w14:schemeClr w14:val="tx1"/>
            </w14:solidFill>
          </w14:textFill>
        </w:rPr>
        <w:t>终端产品的巨大需求，扫码支付、刷脸、指纹验证、语音识别</w:t>
      </w:r>
      <w:r>
        <w:rPr>
          <w:rFonts w:cs="仿宋_GB2312" w:asciiTheme="minorEastAsia" w:hAnsiTheme="minorEastAsia"/>
          <w:color w:val="000000" w:themeColor="text1"/>
          <w:sz w:val="28"/>
          <w:szCs w:val="28"/>
          <w14:textFill>
            <w14:solidFill>
              <w14:schemeClr w14:val="tx1"/>
            </w14:solidFill>
          </w14:textFill>
        </w:rPr>
        <w:t>……</w:t>
      </w:r>
      <w:r>
        <w:rPr>
          <w:rFonts w:hint="eastAsia" w:cs="仿宋_GB2312" w:asciiTheme="minorEastAsia" w:hAnsiTheme="minorEastAsia"/>
          <w:color w:val="000000" w:themeColor="text1"/>
          <w:sz w:val="28"/>
          <w:szCs w:val="28"/>
          <w14:textFill>
            <w14:solidFill>
              <w14:schemeClr w14:val="tx1"/>
            </w14:solidFill>
          </w14:textFill>
        </w:rPr>
        <w:t>新的理念、新的生活方式，冲击着人们传统的思维，也开启了我们思考和调整现有教学模式的改革进程。</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二、主要目标</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1、通过企业调查研究了解目前行业发展现状，调整人才培养方案及教学内容安排。</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2、通过本课题的研究，加强学生专业技能“精发展”的有效培养。</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3、通过本课题的研究，强化“校企合作，工学结合、产教融合”的职业教育理念。</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三、实施过程</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立足电子电信行业现状、企业需求，结合学校教学实施可行性，兼顾现有师资条件、学生知识结构，调整电子与信息技术专业专业课程设置。</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1、巩固专业核心课，保证电信专业人才培养的基石，垒实学生专业理论知识基本功。</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2、扩展专业技术能力，考查课作为专业核心课的对接和外延。</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3、同时，与时俱进，设置具有行业特色和技能引领的方向课。一方面，强化巩固学生扎扎实实掌握专业技能，旨在学生专业能力“实”的培养。另一方面，吸纳新知识、新技能，适应电信行业转型发展及社会需求，旨在学生专业能力“精”的培养，提升择业的优势。</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四、特色创新</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1、课程设置衔接紧密，方向课把握行业趋势。</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平衡学生在校有限的时间、专业知识的涵盖度、新技能的培养力度，以及行业的迅速转型发展等多方面因素，调整《电子与信息技术专业人才培养方案》。</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专业课设置做如下调整：</w:t>
      </w:r>
    </w:p>
    <w:tbl>
      <w:tblPr>
        <w:tblStyle w:val="12"/>
        <w:tblW w:w="85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89"/>
        <w:gridCol w:w="2739"/>
        <w:gridCol w:w="2854"/>
        <w:gridCol w:w="22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序号</w:t>
            </w:r>
          </w:p>
        </w:tc>
        <w:tc>
          <w:tcPr>
            <w:tcW w:w="273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专业核心课</w:t>
            </w:r>
          </w:p>
        </w:tc>
        <w:tc>
          <w:tcPr>
            <w:tcW w:w="2854"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专业考查课</w:t>
            </w:r>
          </w:p>
        </w:tc>
        <w:tc>
          <w:tcPr>
            <w:tcW w:w="2213"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专业方向课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w:t>
            </w:r>
          </w:p>
        </w:tc>
        <w:tc>
          <w:tcPr>
            <w:tcW w:w="2739" w:type="dxa"/>
            <w:vMerge w:val="restart"/>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电路技术基础与技能</w:t>
            </w:r>
          </w:p>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电子技术基础与技能</w:t>
            </w:r>
          </w:p>
        </w:tc>
        <w:tc>
          <w:tcPr>
            <w:tcW w:w="2854" w:type="dxa"/>
            <w:vMerge w:val="restart"/>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安全</w:t>
            </w:r>
          </w:p>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电机与电气控制技术</w:t>
            </w:r>
          </w:p>
        </w:tc>
        <w:tc>
          <w:tcPr>
            <w:tcW w:w="2213" w:type="dxa"/>
            <w:vMerge w:val="restart"/>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电子产品安装与调试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w:t>
            </w:r>
          </w:p>
        </w:tc>
        <w:tc>
          <w:tcPr>
            <w:tcW w:w="2739" w:type="dxa"/>
            <w:vMerge w:val="continue"/>
            <w:vAlign w:val="center"/>
          </w:tcPr>
          <w:p>
            <w:pPr>
              <w:rPr>
                <w:rFonts w:cs="仿宋_GB2312" w:asciiTheme="minorEastAsia" w:hAnsiTheme="minorEastAsia"/>
                <w:color w:val="000000" w:themeColor="text1"/>
                <w:szCs w:val="21"/>
                <w14:textFill>
                  <w14:solidFill>
                    <w14:schemeClr w14:val="tx1"/>
                  </w14:solidFill>
                </w14:textFill>
              </w:rPr>
            </w:pPr>
          </w:p>
        </w:tc>
        <w:tc>
          <w:tcPr>
            <w:tcW w:w="2854" w:type="dxa"/>
            <w:vMerge w:val="continue"/>
            <w:vAlign w:val="center"/>
          </w:tcPr>
          <w:p>
            <w:pPr>
              <w:rPr>
                <w:rFonts w:cs="仿宋_GB2312" w:asciiTheme="minorEastAsia" w:hAnsiTheme="minorEastAsia"/>
                <w:color w:val="000000" w:themeColor="text1"/>
                <w:szCs w:val="21"/>
                <w14:textFill>
                  <w14:solidFill>
                    <w14:schemeClr w14:val="tx1"/>
                  </w14:solidFill>
                </w14:textFill>
              </w:rPr>
            </w:pPr>
          </w:p>
        </w:tc>
        <w:tc>
          <w:tcPr>
            <w:tcW w:w="2213" w:type="dxa"/>
            <w:vMerge w:val="continue"/>
            <w:vAlign w:val="center"/>
          </w:tcPr>
          <w:p>
            <w:pPr>
              <w:rPr>
                <w:rFonts w:cs="仿宋_GB2312"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3</w:t>
            </w:r>
          </w:p>
        </w:tc>
        <w:tc>
          <w:tcPr>
            <w:tcW w:w="273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数字通信技术及应用</w:t>
            </w:r>
          </w:p>
        </w:tc>
        <w:tc>
          <w:tcPr>
            <w:tcW w:w="2854"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移动通信设备</w:t>
            </w:r>
          </w:p>
        </w:tc>
        <w:tc>
          <w:tcPr>
            <w:tcW w:w="2213" w:type="dxa"/>
            <w:vMerge w:val="restart"/>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网络布线与实施</w:t>
            </w:r>
          </w:p>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物联网应用技术</w:t>
            </w:r>
          </w:p>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无人机应用技术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4</w:t>
            </w:r>
          </w:p>
        </w:tc>
        <w:tc>
          <w:tcPr>
            <w:tcW w:w="2739" w:type="dxa"/>
            <w:vMerge w:val="restart"/>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电子测量仪器及应用</w:t>
            </w:r>
          </w:p>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电子产品结构及工艺</w:t>
            </w:r>
          </w:p>
        </w:tc>
        <w:tc>
          <w:tcPr>
            <w:tcW w:w="2854" w:type="dxa"/>
            <w:vMerge w:val="restart"/>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传感器技术及应用</w:t>
            </w:r>
          </w:p>
        </w:tc>
        <w:tc>
          <w:tcPr>
            <w:tcW w:w="2213" w:type="dxa"/>
            <w:vMerge w:val="continue"/>
            <w:vAlign w:val="center"/>
          </w:tcPr>
          <w:p>
            <w:pPr>
              <w:rPr>
                <w:rFonts w:cs="仿宋_GB2312"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5</w:t>
            </w:r>
          </w:p>
        </w:tc>
        <w:tc>
          <w:tcPr>
            <w:tcW w:w="2739" w:type="dxa"/>
            <w:vMerge w:val="continue"/>
            <w:vAlign w:val="center"/>
          </w:tcPr>
          <w:p>
            <w:pPr>
              <w:rPr>
                <w:rFonts w:cs="仿宋_GB2312" w:asciiTheme="minorEastAsia" w:hAnsiTheme="minorEastAsia"/>
                <w:color w:val="000000" w:themeColor="text1"/>
                <w:szCs w:val="21"/>
                <w14:textFill>
                  <w14:solidFill>
                    <w14:schemeClr w14:val="tx1"/>
                  </w14:solidFill>
                </w14:textFill>
              </w:rPr>
            </w:pPr>
          </w:p>
        </w:tc>
        <w:tc>
          <w:tcPr>
            <w:tcW w:w="2854" w:type="dxa"/>
            <w:vMerge w:val="continue"/>
            <w:vAlign w:val="center"/>
          </w:tcPr>
          <w:p>
            <w:pPr>
              <w:rPr>
                <w:rFonts w:cs="仿宋_GB2312" w:asciiTheme="minorEastAsia" w:hAnsiTheme="minorEastAsia"/>
                <w:color w:val="000000" w:themeColor="text1"/>
                <w:szCs w:val="21"/>
                <w14:textFill>
                  <w14:solidFill>
                    <w14:schemeClr w14:val="tx1"/>
                  </w14:solidFill>
                </w14:textFill>
              </w:rPr>
            </w:pPr>
          </w:p>
        </w:tc>
        <w:tc>
          <w:tcPr>
            <w:tcW w:w="2213" w:type="dxa"/>
            <w:vMerge w:val="continue"/>
            <w:vAlign w:val="center"/>
          </w:tcPr>
          <w:p>
            <w:pPr>
              <w:rPr>
                <w:rFonts w:cs="仿宋_GB2312"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6</w:t>
            </w:r>
          </w:p>
        </w:tc>
        <w:tc>
          <w:tcPr>
            <w:tcW w:w="273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电子</w:t>
            </w:r>
            <w:r>
              <w:rPr>
                <w:rFonts w:cs="仿宋_GB2312" w:asciiTheme="minorEastAsia" w:hAnsiTheme="minorEastAsia"/>
                <w:color w:val="000000" w:themeColor="text1"/>
                <w:szCs w:val="21"/>
                <w14:textFill>
                  <w14:solidFill>
                    <w14:schemeClr w14:val="tx1"/>
                  </w14:solidFill>
                </w14:textFill>
              </w:rPr>
              <w:t>CAD</w:t>
            </w:r>
          </w:p>
        </w:tc>
        <w:tc>
          <w:tcPr>
            <w:tcW w:w="2854"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电子仿真</w:t>
            </w:r>
          </w:p>
        </w:tc>
        <w:tc>
          <w:tcPr>
            <w:tcW w:w="2213" w:type="dxa"/>
            <w:vMerge w:val="restart"/>
            <w:vAlign w:val="center"/>
          </w:tcPr>
          <w:p>
            <w:pPr>
              <w:rPr>
                <w:rFonts w:cs="仿宋_GB2312" w:asciiTheme="minorEastAsia" w:hAnsiTheme="minorEastAsia"/>
                <w:color w:val="000000" w:themeColor="text1"/>
                <w:szCs w:val="21"/>
                <w14:textFill>
                  <w14:solidFill>
                    <w14:schemeClr w14:val="tx1"/>
                  </w14:solidFill>
                </w14:textFill>
              </w:rPr>
            </w:pPr>
            <w:r>
              <w:rPr>
                <w:rFonts w:cs="仿宋_GB2312" w:asciiTheme="minorEastAsia" w:hAnsiTheme="minorEastAsia"/>
                <w:color w:val="000000" w:themeColor="text1"/>
                <w:szCs w:val="21"/>
                <w14:textFill>
                  <w14:solidFill>
                    <w14:schemeClr w14:val="tx1"/>
                  </w14:solidFill>
                </w14:textFill>
              </w:rPr>
              <w:t>PLC</w:t>
            </w:r>
            <w:r>
              <w:rPr>
                <w:rFonts w:hint="eastAsia" w:cs="仿宋_GB2312" w:asciiTheme="minorEastAsia" w:hAnsiTheme="minorEastAsia"/>
                <w:color w:val="000000" w:themeColor="text1"/>
                <w:szCs w:val="21"/>
                <w14:textFill>
                  <w14:solidFill>
                    <w14:schemeClr w14:val="tx1"/>
                  </w14:solidFill>
                </w14:textFill>
              </w:rPr>
              <w:t>技术应用</w:t>
            </w:r>
          </w:p>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单片机应用技术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78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7</w:t>
            </w:r>
          </w:p>
        </w:tc>
        <w:tc>
          <w:tcPr>
            <w:tcW w:w="2739"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单片机技术及应用</w:t>
            </w:r>
          </w:p>
        </w:tc>
        <w:tc>
          <w:tcPr>
            <w:tcW w:w="2854" w:type="dxa"/>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电机与电气控制技术</w:t>
            </w:r>
          </w:p>
        </w:tc>
        <w:tc>
          <w:tcPr>
            <w:tcW w:w="2213" w:type="dxa"/>
            <w:vMerge w:val="continue"/>
          </w:tcPr>
          <w:p>
            <w:pPr>
              <w:rPr>
                <w:rFonts w:cs="仿宋_GB2312" w:asciiTheme="minorEastAsia" w:hAnsiTheme="minorEastAsia"/>
                <w:color w:val="000000" w:themeColor="text1"/>
                <w:szCs w:val="21"/>
                <w14:textFill>
                  <w14:solidFill>
                    <w14:schemeClr w14:val="tx1"/>
                  </w14:solidFill>
                </w14:textFill>
              </w:rPr>
            </w:pPr>
          </w:p>
        </w:tc>
      </w:tr>
    </w:tbl>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2、小班制教学，精细化培养。</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电信工程系电子与信息技术专业2017级学生，一个教学班28名学生，本学期（即2019-2020学年第一学期），是在校第五学期。学生已具备一定的专业理论知识和技能水平，借助大赛实训基地，选择电子产品装配与调试、</w:t>
      </w:r>
      <w:r>
        <w:rPr>
          <w:rFonts w:cs="仿宋_GB2312" w:asciiTheme="minorEastAsia" w:hAnsiTheme="minorEastAsia"/>
          <w:color w:val="000000" w:themeColor="text1"/>
          <w:sz w:val="28"/>
          <w:szCs w:val="28"/>
          <w14:textFill>
            <w14:solidFill>
              <w14:schemeClr w14:val="tx1"/>
            </w14:solidFill>
          </w14:textFill>
        </w:rPr>
        <w:t>PLC</w:t>
      </w:r>
      <w:r>
        <w:rPr>
          <w:rFonts w:hint="eastAsia" w:cs="仿宋_GB2312" w:asciiTheme="minorEastAsia" w:hAnsiTheme="minorEastAsia"/>
          <w:color w:val="000000" w:themeColor="text1"/>
          <w:sz w:val="28"/>
          <w:szCs w:val="28"/>
          <w14:textFill>
            <w14:solidFill>
              <w14:schemeClr w14:val="tx1"/>
            </w14:solidFill>
          </w14:textFill>
        </w:rPr>
        <w:t>技术应用、网络布线与实施、物联网应用技术，四个方向的一体化教学。通过项目式教学，在“宽松”的教学环境中，培养学生独立思考、团队协作的综合能力，使“</w:t>
      </w:r>
      <w:r>
        <w:rPr>
          <w:rFonts w:cs="仿宋_GB2312" w:asciiTheme="minorEastAsia" w:hAnsiTheme="minorEastAsia"/>
          <w:color w:val="000000" w:themeColor="text1"/>
          <w:sz w:val="28"/>
          <w:szCs w:val="28"/>
          <w14:textFill>
            <w14:solidFill>
              <w14:schemeClr w14:val="tx1"/>
            </w14:solidFill>
          </w14:textFill>
        </w:rPr>
        <w:t>产教融合、校企合作</w:t>
      </w:r>
      <w:r>
        <w:rPr>
          <w:rFonts w:hint="eastAsia" w:cs="仿宋_GB2312" w:asciiTheme="minorEastAsia" w:hAnsiTheme="minorEastAsia"/>
          <w:color w:val="000000" w:themeColor="text1"/>
          <w:sz w:val="28"/>
          <w:szCs w:val="28"/>
          <w14:textFill>
            <w14:solidFill>
              <w14:schemeClr w14:val="tx1"/>
            </w14:solidFill>
          </w14:textFill>
        </w:rPr>
        <w:t>”的培养模式，从“粗放型”走向“精细化”。</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3、大赛引领，校企融合紧密，多种评价机制并存</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授课教师具有2年以上的大赛选拔和培训的经验，并与大赛设备供应企业中的工程、技术人员紧密交流，产品、技术更新及时，教学内容调整节奏快，融合校内考核、大赛标准、企业考核标准等，多种评价机制并存，全面培养提升学生的技能水平。成熟运行后，可以向第4学期教学安排推行，增强学生就业招聘前就能具备一到两个专业方向的选择优势。</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电子产品装配与调试课堂：</w:t>
      </w:r>
    </w:p>
    <w:p>
      <w:pPr>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drawing>
          <wp:inline distT="0" distB="0" distL="0" distR="0">
            <wp:extent cx="5304790" cy="3794125"/>
            <wp:effectExtent l="0" t="0" r="10160" b="15875"/>
            <wp:docPr id="1" name="图片 2" descr="C:\DOCUME~1\ADMINI~1\LOCALS~1\Temp\WeChat Files\91449293574158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DOCUME~1\ADMINI~1\LOCALS~1\Temp\WeChat Files\914492935741581594.jpg"/>
                    <pic:cNvPicPr>
                      <a:picLocks noChangeAspect="1" noChangeArrowheads="1"/>
                    </pic:cNvPicPr>
                  </pic:nvPicPr>
                  <pic:blipFill>
                    <a:blip r:embed="rId5" cstate="print"/>
                    <a:srcRect/>
                    <a:stretch>
                      <a:fillRect/>
                    </a:stretch>
                  </pic:blipFill>
                  <pic:spPr>
                    <a:xfrm>
                      <a:off x="0" y="0"/>
                      <a:ext cx="5301586" cy="3794125"/>
                    </a:xfrm>
                    <a:prstGeom prst="rect">
                      <a:avLst/>
                    </a:prstGeom>
                    <a:noFill/>
                    <a:ln w="9525">
                      <a:noFill/>
                      <a:miter lim="800000"/>
                      <a:headEnd/>
                      <a:tailEnd/>
                    </a:ln>
                  </pic:spPr>
                </pic:pic>
              </a:graphicData>
            </a:graphic>
          </wp:inline>
        </w:drawing>
      </w:r>
    </w:p>
    <w:p>
      <w:pPr>
        <w:rPr>
          <w:rFonts w:cs="仿宋_GB2312" w:asciiTheme="minorEastAsia" w:hAnsiTheme="minorEastAsia"/>
          <w:color w:val="000000" w:themeColor="text1"/>
          <w:sz w:val="28"/>
          <w:szCs w:val="28"/>
          <w14:textFill>
            <w14:solidFill>
              <w14:schemeClr w14:val="tx1"/>
            </w14:solidFill>
          </w14:textFill>
        </w:rPr>
      </w:pPr>
    </w:p>
    <w:p>
      <w:pPr>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drawing>
          <wp:inline distT="0" distB="0" distL="0" distR="0">
            <wp:extent cx="5354320" cy="4016375"/>
            <wp:effectExtent l="19050" t="0" r="0" b="0"/>
            <wp:docPr id="6" name="图片 3" descr="C:\DOCUME~1\ADMINI~1\LOCALS~1\Temp\WeChat Files\44744861275727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DOCUME~1\ADMINI~1\LOCALS~1\Temp\WeChat Files\447448612757270620.jpg"/>
                    <pic:cNvPicPr>
                      <a:picLocks noChangeAspect="1" noChangeArrowheads="1"/>
                    </pic:cNvPicPr>
                  </pic:nvPicPr>
                  <pic:blipFill>
                    <a:blip r:embed="rId6" cstate="print"/>
                    <a:srcRect/>
                    <a:stretch>
                      <a:fillRect/>
                    </a:stretch>
                  </pic:blipFill>
                  <pic:spPr>
                    <a:xfrm>
                      <a:off x="0" y="0"/>
                      <a:ext cx="5360902" cy="4021690"/>
                    </a:xfrm>
                    <a:prstGeom prst="rect">
                      <a:avLst/>
                    </a:prstGeom>
                    <a:noFill/>
                    <a:ln w="9525">
                      <a:noFill/>
                      <a:miter lim="800000"/>
                      <a:headEnd/>
                      <a:tailEnd/>
                    </a:ln>
                  </pic:spPr>
                </pic:pic>
              </a:graphicData>
            </a:graphic>
          </wp:inline>
        </w:drawing>
      </w:r>
    </w:p>
    <w:p>
      <w:pPr>
        <w:ind w:firstLine="560" w:firstLineChars="200"/>
        <w:rPr>
          <w:rFonts w:cs="仿宋_GB2312" w:asciiTheme="minorEastAsia" w:hAnsiTheme="minorEastAsia"/>
          <w:color w:val="000000" w:themeColor="text1"/>
          <w:sz w:val="28"/>
          <w:szCs w:val="28"/>
          <w14:textFill>
            <w14:solidFill>
              <w14:schemeClr w14:val="tx1"/>
            </w14:solidFill>
          </w14:textFill>
        </w:rPr>
      </w:pPr>
      <w:bookmarkStart w:id="6" w:name="_GoBack"/>
      <w:bookmarkEnd w:id="6"/>
      <w:r>
        <w:rPr>
          <w:rFonts w:hint="eastAsia" w:cs="仿宋_GB2312" w:asciiTheme="minorEastAsia" w:hAnsiTheme="minorEastAsia"/>
          <w:color w:val="000000" w:themeColor="text1"/>
          <w:sz w:val="28"/>
          <w:szCs w:val="28"/>
          <w14:textFill>
            <w14:solidFill>
              <w14:schemeClr w14:val="tx1"/>
            </w14:solidFill>
          </w14:textFill>
        </w:rPr>
        <w:t>网络布线与实施课堂：</w:t>
      </w:r>
    </w:p>
    <w:p>
      <w:pPr>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drawing>
          <wp:inline distT="0" distB="0" distL="0" distR="0">
            <wp:extent cx="5039995" cy="3779520"/>
            <wp:effectExtent l="19050" t="0" r="8250" b="0"/>
            <wp:docPr id="7" name="图片 4" descr="C:\DOCUME~1\ADMINI~1\LOCALS~1\Temp\WeChat Files\73582290067049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DOCUME~1\ADMINI~1\LOCALS~1\Temp\WeChat Files\735822900670490822.jpg"/>
                    <pic:cNvPicPr>
                      <a:picLocks noChangeAspect="1" noChangeArrowheads="1"/>
                    </pic:cNvPicPr>
                  </pic:nvPicPr>
                  <pic:blipFill>
                    <a:blip r:embed="rId7" cstate="print"/>
                    <a:srcRect/>
                    <a:stretch>
                      <a:fillRect/>
                    </a:stretch>
                  </pic:blipFill>
                  <pic:spPr>
                    <a:xfrm>
                      <a:off x="0" y="0"/>
                      <a:ext cx="5040000" cy="3780000"/>
                    </a:xfrm>
                    <a:prstGeom prst="rect">
                      <a:avLst/>
                    </a:prstGeom>
                    <a:noFill/>
                    <a:ln w="9525">
                      <a:noFill/>
                      <a:miter lim="800000"/>
                      <a:headEnd/>
                      <a:tailEnd/>
                    </a:ln>
                  </pic:spPr>
                </pic:pic>
              </a:graphicData>
            </a:graphic>
          </wp:inline>
        </w:drawing>
      </w:r>
    </w:p>
    <w:p>
      <w:pPr>
        <w:rPr>
          <w:rFonts w:cs="仿宋_GB2312" w:asciiTheme="minorEastAsia" w:hAnsiTheme="minorEastAsia"/>
          <w:color w:val="000000" w:themeColor="text1"/>
          <w:sz w:val="28"/>
          <w:szCs w:val="28"/>
          <w14:textFill>
            <w14:solidFill>
              <w14:schemeClr w14:val="tx1"/>
            </w14:solidFill>
          </w14:textFill>
        </w:rPr>
      </w:pPr>
    </w:p>
    <w:p>
      <w:pPr>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drawing>
          <wp:inline distT="0" distB="0" distL="0" distR="0">
            <wp:extent cx="5103495" cy="3611245"/>
            <wp:effectExtent l="0" t="0" r="1905" b="8255"/>
            <wp:docPr id="8" name="图片 5" descr="C:\DOCUME~1\ADMINI~1\LOCALS~1\Temp\WeChat Files\75949606737309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C:\DOCUME~1\ADMINI~1\LOCALS~1\Temp\WeChat Files\759496067373091662.jpg"/>
                    <pic:cNvPicPr>
                      <a:picLocks noChangeAspect="1" noChangeArrowheads="1"/>
                    </pic:cNvPicPr>
                  </pic:nvPicPr>
                  <pic:blipFill>
                    <a:blip r:embed="rId8" cstate="print"/>
                    <a:srcRect b="30869"/>
                    <a:stretch>
                      <a:fillRect/>
                    </a:stretch>
                  </pic:blipFill>
                  <pic:spPr>
                    <a:xfrm>
                      <a:off x="0" y="0"/>
                      <a:ext cx="5103495" cy="3611245"/>
                    </a:xfrm>
                    <a:prstGeom prst="rect">
                      <a:avLst/>
                    </a:prstGeom>
                    <a:noFill/>
                    <a:ln w="9525">
                      <a:noFill/>
                      <a:miter lim="800000"/>
                      <a:headEnd/>
                      <a:tailEnd/>
                    </a:ln>
                  </pic:spPr>
                </pic:pic>
              </a:graphicData>
            </a:graphic>
          </wp:inline>
        </w:drawing>
      </w:r>
    </w:p>
    <w:p>
      <w:pPr>
        <w:rPr>
          <w:rFonts w:hint="eastAsia"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br w:type="page"/>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4、方向课强化实践一体化教学，推动教师业务能力的快速提升。</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方向课的教学内容，紧随行业企业转型发展节奏及大赛考核动向，一体化的教学模式，将综合考验教师的知识结构和技能水平。课程标准、项目内容设置，不再拘泥于具体的教材，这些都将极大地推动教师的钻研和进取精神。对师资的培养模式，从“专业化”走向“一体化”，全面提升教师的业务水平，刺激教师的教学理念和授课方式。</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五、体会和反思</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教学模式的改革，我们首先从课程设置调整入手。对于人才培养这颗参天大树，核心课根基，是土壤；考查课是补充，是拓展，是阳关和雨露；方向课是嫁接，是创新，是特色，是趋势。稳固核心课，扩宽考查课，把握方向课。从前期开设的4门方向课的实施过程和实施效果来看，学生和教师分别经历了从好奇到适应，从摸索到进入状态，经过前期相互磨合的“较劲”阶段，已经进入相互融洽的“默契”阶段。在这种宽松协作的氛围中，做中学、学中做，教学相长，这种教学模式受到师生的接受和肯定。</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怎样能让这特别的“课堂氛围”保持它的活泼、愉快、新颖、充实，就需要更进一步的校企融合。教师进入企业，企业人员走进课堂，知识与技能对接，任务与项目对接，教师与技师对接，考卷与产品标准对接，</w:t>
      </w:r>
      <w:r>
        <w:rPr>
          <w:rFonts w:cs="仿宋_GB2312" w:asciiTheme="minorEastAsia" w:hAnsiTheme="minorEastAsia"/>
          <w:color w:val="000000" w:themeColor="text1"/>
          <w:sz w:val="28"/>
          <w:szCs w:val="28"/>
          <w14:textFill>
            <w14:solidFill>
              <w14:schemeClr w14:val="tx1"/>
            </w14:solidFill>
          </w14:textFill>
        </w:rPr>
        <w:t>……</w:t>
      </w:r>
      <w:r>
        <w:rPr>
          <w:rFonts w:hint="eastAsia" w:cs="仿宋_GB2312" w:asciiTheme="minorEastAsia" w:hAnsiTheme="minorEastAsia"/>
          <w:color w:val="000000" w:themeColor="text1"/>
          <w:sz w:val="28"/>
          <w:szCs w:val="28"/>
          <w14:textFill>
            <w14:solidFill>
              <w14:schemeClr w14:val="tx1"/>
            </w14:solidFill>
          </w14:textFill>
        </w:rPr>
        <w:t>，建立长效运行机制，做到校企互通互融共享共建。同时，教师持之以恒的钻研，参加各种技能大赛，通过院校交流、切磋，开阔思路，博采众家之长，保持方向课永远紧跟行业的发展方向。</w:t>
      </w:r>
    </w:p>
    <w:p>
      <w:pPr>
        <w:rPr>
          <w:rFonts w:hint="eastAsia" w:asciiTheme="minorEastAsia" w:hAnsiTheme="minorEastAsia"/>
          <w:b/>
          <w:sz w:val="28"/>
          <w:szCs w:val="28"/>
        </w:rPr>
      </w:pPr>
      <w:r>
        <w:rPr>
          <w:rFonts w:hint="eastAsia" w:asciiTheme="minorEastAsia" w:hAnsiTheme="minorEastAsia"/>
          <w:b/>
          <w:sz w:val="28"/>
          <w:szCs w:val="28"/>
        </w:rPr>
        <w:br w:type="page"/>
      </w:r>
    </w:p>
    <w:p>
      <w:pPr>
        <w:spacing w:before="312" w:beforeLines="100" w:after="312" w:afterLines="100"/>
        <w:ind w:firstLine="562" w:firstLineChars="200"/>
        <w:rPr>
          <w:rFonts w:asciiTheme="minorEastAsia" w:hAnsiTheme="minorEastAsia"/>
          <w:b/>
          <w:sz w:val="28"/>
          <w:szCs w:val="28"/>
        </w:rPr>
      </w:pPr>
      <w:r>
        <w:rPr>
          <w:rFonts w:hint="eastAsia" w:asciiTheme="minorEastAsia" w:hAnsiTheme="minorEastAsia"/>
          <w:b/>
          <w:sz w:val="28"/>
          <w:szCs w:val="28"/>
        </w:rPr>
        <w:t>案例3：</w:t>
      </w:r>
    </w:p>
    <w:p>
      <w:pPr>
        <w:spacing w:before="156" w:beforeLines="50" w:after="156" w:afterLines="50"/>
        <w:jc w:val="center"/>
        <w:rPr>
          <w:rFonts w:ascii="宋体" w:hAnsi="宋体" w:eastAsia="宋体"/>
          <w:b/>
          <w:bCs/>
          <w:sz w:val="30"/>
          <w:szCs w:val="30"/>
        </w:rPr>
      </w:pPr>
      <w:r>
        <w:rPr>
          <w:rFonts w:hint="eastAsia" w:ascii="宋体" w:hAnsi="宋体" w:eastAsia="宋体"/>
          <w:b/>
          <w:bCs/>
          <w:sz w:val="30"/>
          <w:szCs w:val="30"/>
        </w:rPr>
        <w:t>运用蓝墨云班课开展中职学生心理健康教育</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网络时代的到来，给人们的日常生活和教育教学带来了全面的变化，也对中职院校学生的心理健康教育产生了深远的影响。在这种背景下，要提高工作成效，必须创新工作方法，加强对中职院校学生的心理健康课程的建设，促进中职院校学生心理健康教育水平的提高。我校渭南技师学院将蓝墨云班课用于心理健康课程，提升了学生学习兴趣，提高了教学效率。</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一、教学手段变化从课堂签到开始</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为了督导学生上课，在教学伊始，教师一般都会手持花名册点名，对学生的出勤情况进行统计。该传统点名方式若用于人数较多的班级就费时又费力。蓝墨云班课很好的解决了该问题。蓝墨云班课中的“一键签到”、“手势签到”、“手工登记”三种方式签到，实现了在10秒钟内完成百人班级的考勤，运于考核学生课堂出勤情况。教师利用蓝墨云班课的签到功能，可以轻松了解到学生的出勤情况，记录并保存学生的出勤信息，同时运用于期中、期末考试的考勤。</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我校教师在心理健康课程中使用蓝墨云班课签到，一开始上课便引发了学生的兴趣。首先，教师运用手机为载体开展教学，符合学生心理需求，为教学赢得基础。</w:t>
      </w:r>
      <w:r>
        <w:rPr>
          <w:rFonts w:cs="仿宋_GB2312" w:asciiTheme="minorEastAsia" w:hAnsiTheme="minorEastAsia"/>
          <w:color w:val="000000" w:themeColor="text1"/>
          <w:sz w:val="28"/>
          <w:szCs w:val="28"/>
          <w14:textFill>
            <w14:solidFill>
              <w14:schemeClr w14:val="tx1"/>
            </w14:solidFill>
          </w14:textFill>
        </w:rPr>
        <w:t>学生上课用手机，</w:t>
      </w:r>
      <w:r>
        <w:rPr>
          <w:rFonts w:hint="eastAsia" w:cs="仿宋_GB2312" w:asciiTheme="minorEastAsia" w:hAnsiTheme="minorEastAsia"/>
          <w:color w:val="000000" w:themeColor="text1"/>
          <w:sz w:val="28"/>
          <w:szCs w:val="28"/>
          <w14:textFill>
            <w14:solidFill>
              <w14:schemeClr w14:val="tx1"/>
            </w14:solidFill>
          </w14:textFill>
        </w:rPr>
        <w:t>一般</w:t>
      </w:r>
      <w:r>
        <w:rPr>
          <w:rFonts w:cs="仿宋_GB2312" w:asciiTheme="minorEastAsia" w:hAnsiTheme="minorEastAsia"/>
          <w:color w:val="000000" w:themeColor="text1"/>
          <w:sz w:val="28"/>
          <w:szCs w:val="28"/>
          <w14:textFill>
            <w14:solidFill>
              <w14:schemeClr w14:val="tx1"/>
            </w14:solidFill>
          </w14:textFill>
        </w:rPr>
        <w:t>老师</w:t>
      </w:r>
      <w:r>
        <w:rPr>
          <w:rFonts w:hint="eastAsia" w:cs="仿宋_GB2312" w:asciiTheme="minorEastAsia" w:hAnsiTheme="minorEastAsia"/>
          <w:color w:val="000000" w:themeColor="text1"/>
          <w:sz w:val="28"/>
          <w:szCs w:val="28"/>
          <w14:textFill>
            <w14:solidFill>
              <w14:schemeClr w14:val="tx1"/>
            </w14:solidFill>
          </w14:textFill>
        </w:rPr>
        <w:t>都</w:t>
      </w:r>
      <w:r>
        <w:rPr>
          <w:rFonts w:cs="仿宋_GB2312" w:asciiTheme="minorEastAsia" w:hAnsiTheme="minorEastAsia"/>
          <w:color w:val="000000" w:themeColor="text1"/>
          <w:sz w:val="28"/>
          <w:szCs w:val="28"/>
          <w14:textFill>
            <w14:solidFill>
              <w14:schemeClr w14:val="tx1"/>
            </w14:solidFill>
          </w14:textFill>
        </w:rPr>
        <w:t>绝对无法容忍的事</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各类老师和学生也是斗智斗勇</w:t>
      </w:r>
      <w:r>
        <w:rPr>
          <w:rFonts w:hint="eastAsia" w:cs="仿宋_GB2312" w:asciiTheme="minorEastAsia" w:hAnsiTheme="minorEastAsia"/>
          <w:color w:val="000000" w:themeColor="text1"/>
          <w:sz w:val="28"/>
          <w:szCs w:val="28"/>
          <w14:textFill>
            <w14:solidFill>
              <w14:schemeClr w14:val="tx1"/>
            </w14:solidFill>
          </w14:textFill>
        </w:rPr>
        <w:t>的</w:t>
      </w:r>
      <w:r>
        <w:rPr>
          <w:rFonts w:cs="仿宋_GB2312" w:asciiTheme="minorEastAsia" w:hAnsiTheme="minorEastAsia"/>
          <w:color w:val="000000" w:themeColor="text1"/>
          <w:sz w:val="28"/>
          <w:szCs w:val="28"/>
          <w14:textFill>
            <w14:solidFill>
              <w14:schemeClr w14:val="tx1"/>
            </w14:solidFill>
          </w14:textFill>
        </w:rPr>
        <w:t>措施</w:t>
      </w:r>
      <w:r>
        <w:rPr>
          <w:rFonts w:hint="eastAsia" w:cs="仿宋_GB2312" w:asciiTheme="minorEastAsia" w:hAnsiTheme="minorEastAsia"/>
          <w:color w:val="000000" w:themeColor="text1"/>
          <w:sz w:val="28"/>
          <w:szCs w:val="28"/>
          <w14:textFill>
            <w14:solidFill>
              <w14:schemeClr w14:val="tx1"/>
            </w14:solidFill>
          </w14:textFill>
        </w:rPr>
        <w:t>层出不穷。比如，</w:t>
      </w:r>
      <w:r>
        <w:rPr>
          <w:rFonts w:cs="仿宋_GB2312" w:asciiTheme="minorEastAsia" w:hAnsiTheme="minorEastAsia"/>
          <w:color w:val="000000" w:themeColor="text1"/>
          <w:sz w:val="28"/>
          <w:szCs w:val="28"/>
          <w14:textFill>
            <w14:solidFill>
              <w14:schemeClr w14:val="tx1"/>
            </w14:solidFill>
          </w14:textFill>
        </w:rPr>
        <w:t>与手机、ipad“抢人”，议书、手机收纳袋</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为</w:t>
      </w:r>
      <w:r>
        <w:rPr>
          <w:rFonts w:hint="eastAsia" w:cs="仿宋_GB2312" w:asciiTheme="minorEastAsia" w:hAnsiTheme="minorEastAsia"/>
          <w:color w:val="000000" w:themeColor="text1"/>
          <w:sz w:val="28"/>
          <w:szCs w:val="28"/>
          <w14:textFill>
            <w14:solidFill>
              <w14:schemeClr w14:val="tx1"/>
            </w14:solidFill>
          </w14:textFill>
        </w:rPr>
        <w:t>的就是学生</w:t>
      </w:r>
      <w:r>
        <w:rPr>
          <w:rFonts w:cs="仿宋_GB2312" w:asciiTheme="minorEastAsia" w:hAnsiTheme="minorEastAsia"/>
          <w:color w:val="000000" w:themeColor="text1"/>
          <w:sz w:val="28"/>
          <w:szCs w:val="28"/>
          <w14:textFill>
            <w14:solidFill>
              <w14:schemeClr w14:val="tx1"/>
            </w14:solidFill>
          </w14:textFill>
        </w:rPr>
        <w:t>上课能不用手机</w:t>
      </w:r>
      <w:r>
        <w:rPr>
          <w:rFonts w:hint="eastAsia" w:cs="仿宋_GB2312" w:asciiTheme="minorEastAsia" w:hAnsiTheme="minorEastAsia"/>
          <w:color w:val="000000" w:themeColor="text1"/>
          <w:sz w:val="28"/>
          <w:szCs w:val="28"/>
          <w14:textFill>
            <w14:solidFill>
              <w14:schemeClr w14:val="tx1"/>
            </w14:solidFill>
          </w14:textFill>
        </w:rPr>
        <w:t>。心理健康课程以以手机为载体，因此上课时学生不必交手机，迎合了他们手机不离手的心理需求，受到学生的欢迎，有利于教学开展；第二，签到的新颖形式，符合学生猎奇心理，为教学开始提供了趣味性。我校心理健康课程运用蓝墨云班课的签到功能，</w:t>
      </w:r>
      <w:r>
        <w:rPr>
          <w:rFonts w:cs="仿宋_GB2312" w:asciiTheme="minorEastAsia" w:hAnsiTheme="minorEastAsia"/>
          <w:color w:val="000000" w:themeColor="text1"/>
          <w:sz w:val="28"/>
          <w:szCs w:val="28"/>
          <w14:textFill>
            <w14:solidFill>
              <w14:schemeClr w14:val="tx1"/>
            </w14:solidFill>
          </w14:textFill>
        </w:rPr>
        <w:t>教师课堂上可发起特定图案签到活动进行考勤检查, 学生短时间内在手机客户端完成签到, 替代传统花名册点名形式, 避免出现学生相互替代签到情况,</w:t>
      </w:r>
      <w:r>
        <w:rPr>
          <w:rFonts w:hint="eastAsia" w:cs="仿宋_GB2312" w:asciiTheme="minorEastAsia" w:hAnsiTheme="minorEastAsia"/>
          <w:color w:val="000000" w:themeColor="text1"/>
          <w:sz w:val="28"/>
          <w:szCs w:val="28"/>
          <w14:textFill>
            <w14:solidFill>
              <w14:schemeClr w14:val="tx1"/>
            </w14:solidFill>
          </w14:textFill>
        </w:rPr>
        <w:t>，</w:t>
      </w:r>
      <w:r>
        <w:rPr>
          <w:rFonts w:cs="仿宋_GB2312" w:asciiTheme="minorEastAsia" w:hAnsiTheme="minorEastAsia"/>
          <w:color w:val="000000" w:themeColor="text1"/>
          <w:sz w:val="28"/>
          <w:szCs w:val="28"/>
          <w14:textFill>
            <w14:solidFill>
              <w14:schemeClr w14:val="tx1"/>
            </w14:solidFill>
          </w14:textFill>
        </w:rPr>
        <w:t>提高课堂趣味性和学生出勤率。</w:t>
      </w:r>
      <w:r>
        <w:rPr>
          <w:rFonts w:hint="eastAsia" w:cs="仿宋_GB2312" w:asciiTheme="minorEastAsia" w:hAnsiTheme="minorEastAsia"/>
          <w:color w:val="000000" w:themeColor="text1"/>
          <w:sz w:val="28"/>
          <w:szCs w:val="28"/>
          <w14:textFill>
            <w14:solidFill>
              <w14:schemeClr w14:val="tx1"/>
            </w14:solidFill>
          </w14:textFill>
        </w:rPr>
        <w:t>同时，教师还能精准知道学生是否代签，更加激发学生的好奇心，提高了他们的到课率。</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 xml:space="preserve">         </w:t>
      </w:r>
      <w:r>
        <w:rPr>
          <w:rFonts w:cs="仿宋_GB2312" w:asciiTheme="minorEastAsia" w:hAnsiTheme="minorEastAsia"/>
          <w:color w:val="000000" w:themeColor="text1"/>
          <w:sz w:val="28"/>
          <w:szCs w:val="28"/>
          <w14:textFill>
            <w14:solidFill>
              <w14:schemeClr w14:val="tx1"/>
            </w14:solidFill>
          </w14:textFill>
        </w:rPr>
        <w:drawing>
          <wp:inline distT="89535" distB="89535" distL="89535" distR="89535">
            <wp:extent cx="3083560" cy="2557780"/>
            <wp:effectExtent l="19050" t="0" r="2173" b="0"/>
            <wp:docPr id="2" name="图片模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模式1"/>
                    <pic:cNvPicPr>
                      <a:picLocks noChangeAspect="1"/>
                    </pic:cNvPicPr>
                  </pic:nvPicPr>
                  <pic:blipFill>
                    <a:blip r:embed="rId9" cstate="print"/>
                    <a:stretch>
                      <a:fillRect/>
                    </a:stretch>
                  </pic:blipFill>
                  <pic:spPr>
                    <a:xfrm>
                      <a:off x="0" y="0"/>
                      <a:ext cx="3089160" cy="2562484"/>
                    </a:xfrm>
                    <a:prstGeom prst="rect">
                      <a:avLst/>
                    </a:prstGeom>
                    <a:noFill/>
                    <a:ln w="12700">
                      <a:noFill/>
                    </a:ln>
                  </pic:spPr>
                </pic:pic>
              </a:graphicData>
            </a:graphic>
          </wp:inline>
        </w:drawing>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 xml:space="preserve">从蓝墨云班课的统计数据可以看出，我校在运用蓝墨云班课开展教学时，心理健康课程考勤第四次时学生出勤率就高达97%。教师利用蓝墨云班课进行签到，学生签到后屏幕上出现他们姓名，学生觉得特别有意思，特别是签到刚刚开始，学生都想“抢沙发”，签到积极性特别高，到课率随之提升。充分说明，学生还是喜欢用信息化手段教学上该门课程。 </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二、教学方式改变从经验值上体现</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中职教育教学，课堂学习仍是学生获取知识的阵地。因此，</w:t>
      </w:r>
      <w:r>
        <w:rPr>
          <w:rFonts w:cs="仿宋_GB2312" w:asciiTheme="minorEastAsia" w:hAnsiTheme="minorEastAsia"/>
          <w:color w:val="000000" w:themeColor="text1"/>
          <w:sz w:val="28"/>
          <w:szCs w:val="28"/>
          <w14:textFill>
            <w14:solidFill>
              <w14:schemeClr w14:val="tx1"/>
            </w14:solidFill>
          </w14:textFill>
        </w:rPr>
        <w:t>在课堂上学生是否能够获得有效学习，是否能够充分地进行自主、合作和探究学习至关重要。</w:t>
      </w:r>
      <w:r>
        <w:rPr>
          <w:rFonts w:hint="eastAsia" w:cs="仿宋_GB2312" w:asciiTheme="minorEastAsia" w:hAnsiTheme="minorEastAsia"/>
          <w:color w:val="000000" w:themeColor="text1"/>
          <w:sz w:val="28"/>
          <w:szCs w:val="28"/>
          <w14:textFill>
            <w14:solidFill>
              <w14:schemeClr w14:val="tx1"/>
            </w14:solidFill>
          </w14:textFill>
        </w:rPr>
        <w:t>蓝墨云班课中的经验值，就可以完美的显示出学生在课堂中的表现情况，对提高学生的课堂参与积极性有很大益处。</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1、课堂问题回答</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传统教学方式的课堂问题回答形式是，学生举手或者教师点名回答问题。若遇到学生无人愿意回答，会造成冷场局面。我校心理健康课程利用蓝墨云班课中的“摇一摇”“抢答”功能，</w:t>
      </w:r>
      <w:r>
        <w:rPr>
          <w:rFonts w:cs="仿宋_GB2312" w:asciiTheme="minorEastAsia" w:hAnsiTheme="minorEastAsia"/>
          <w:color w:val="000000" w:themeColor="text1"/>
          <w:sz w:val="28"/>
          <w:szCs w:val="28"/>
          <w14:textFill>
            <w14:solidFill>
              <w14:schemeClr w14:val="tx1"/>
            </w14:solidFill>
          </w14:textFill>
        </w:rPr>
        <w:t>快速打造</w:t>
      </w:r>
      <w:r>
        <w:rPr>
          <w:rFonts w:hint="eastAsia" w:cs="仿宋_GB2312" w:asciiTheme="minorEastAsia" w:hAnsiTheme="minorEastAsia"/>
          <w:color w:val="000000" w:themeColor="text1"/>
          <w:sz w:val="28"/>
          <w:szCs w:val="28"/>
          <w14:textFill>
            <w14:solidFill>
              <w14:schemeClr w14:val="tx1"/>
            </w14:solidFill>
          </w14:textFill>
        </w:rPr>
        <w:t>出</w:t>
      </w:r>
      <w:r>
        <w:rPr>
          <w:rFonts w:cs="仿宋_GB2312" w:asciiTheme="minorEastAsia" w:hAnsiTheme="minorEastAsia"/>
          <w:color w:val="000000" w:themeColor="text1"/>
          <w:sz w:val="28"/>
          <w:szCs w:val="28"/>
          <w14:textFill>
            <w14:solidFill>
              <w14:schemeClr w14:val="tx1"/>
            </w14:solidFill>
          </w14:textFill>
        </w:rPr>
        <w:t>课堂</w:t>
      </w:r>
      <w:r>
        <w:rPr>
          <w:rFonts w:hint="eastAsia" w:cs="仿宋_GB2312" w:asciiTheme="minorEastAsia" w:hAnsiTheme="minorEastAsia"/>
          <w:color w:val="000000" w:themeColor="text1"/>
          <w:sz w:val="28"/>
          <w:szCs w:val="28"/>
          <w14:textFill>
            <w14:solidFill>
              <w14:schemeClr w14:val="tx1"/>
            </w14:solidFill>
          </w14:textFill>
        </w:rPr>
        <w:t>学习的</w:t>
      </w:r>
      <w:r>
        <w:rPr>
          <w:rFonts w:cs="仿宋_GB2312" w:asciiTheme="minorEastAsia" w:hAnsiTheme="minorEastAsia"/>
          <w:color w:val="000000" w:themeColor="text1"/>
          <w:sz w:val="28"/>
          <w:szCs w:val="28"/>
          <w14:textFill>
            <w14:solidFill>
              <w14:schemeClr w14:val="tx1"/>
            </w14:solidFill>
          </w14:textFill>
        </w:rPr>
        <w:t>竞争环境，</w:t>
      </w:r>
      <w:r>
        <w:rPr>
          <w:rFonts w:hint="eastAsia" w:cs="仿宋_GB2312" w:asciiTheme="minorEastAsia" w:hAnsiTheme="minorEastAsia"/>
          <w:color w:val="000000" w:themeColor="text1"/>
          <w:sz w:val="28"/>
          <w:szCs w:val="28"/>
          <w14:textFill>
            <w14:solidFill>
              <w14:schemeClr w14:val="tx1"/>
            </w14:solidFill>
          </w14:textFill>
        </w:rPr>
        <w:t>很好地提升了学生课堂的参与性。在“摇一摇”中，教师</w:t>
      </w:r>
      <w:r>
        <w:rPr>
          <w:rFonts w:cs="仿宋_GB2312" w:asciiTheme="minorEastAsia" w:hAnsiTheme="minorEastAsia"/>
          <w:color w:val="000000" w:themeColor="text1"/>
          <w:sz w:val="28"/>
          <w:szCs w:val="28"/>
          <w14:textFill>
            <w14:solidFill>
              <w14:schemeClr w14:val="tx1"/>
            </w14:solidFill>
          </w14:textFill>
        </w:rPr>
        <w:t>摇一摇选</w:t>
      </w:r>
      <w:r>
        <w:rPr>
          <w:rFonts w:hint="eastAsia" w:cs="仿宋_GB2312" w:asciiTheme="minorEastAsia" w:hAnsiTheme="minorEastAsia"/>
          <w:color w:val="000000" w:themeColor="text1"/>
          <w:sz w:val="28"/>
          <w:szCs w:val="28"/>
          <w14:textFill>
            <w14:solidFill>
              <w14:schemeClr w14:val="tx1"/>
            </w14:solidFill>
          </w14:textFill>
        </w:rPr>
        <w:t>手机，随机选</w:t>
      </w:r>
      <w:r>
        <w:rPr>
          <w:rFonts w:cs="仿宋_GB2312" w:asciiTheme="minorEastAsia" w:hAnsiTheme="minorEastAsia"/>
          <w:color w:val="000000" w:themeColor="text1"/>
          <w:sz w:val="28"/>
          <w:szCs w:val="28"/>
          <w14:textFill>
            <w14:solidFill>
              <w14:schemeClr w14:val="tx1"/>
            </w14:solidFill>
          </w14:textFill>
        </w:rPr>
        <w:t>人</w:t>
      </w:r>
      <w:r>
        <w:rPr>
          <w:rFonts w:hint="eastAsia" w:cs="仿宋_GB2312" w:asciiTheme="minorEastAsia" w:hAnsiTheme="minorEastAsia"/>
          <w:color w:val="000000" w:themeColor="text1"/>
          <w:sz w:val="28"/>
          <w:szCs w:val="28"/>
          <w14:textFill>
            <w14:solidFill>
              <w14:schemeClr w14:val="tx1"/>
            </w14:solidFill>
          </w14:textFill>
        </w:rPr>
        <w:t>回答问题</w:t>
      </w:r>
      <w:r>
        <w:rPr>
          <w:rFonts w:cs="仿宋_GB2312" w:asciiTheme="minorEastAsia" w:hAnsiTheme="minorEastAsia"/>
          <w:color w:val="000000" w:themeColor="text1"/>
          <w:sz w:val="28"/>
          <w:szCs w:val="28"/>
          <w14:textFill>
            <w14:solidFill>
              <w14:schemeClr w14:val="tx1"/>
            </w14:solidFill>
          </w14:textFill>
        </w:rPr>
        <w:t>，既公平又有趣</w:t>
      </w:r>
      <w:r>
        <w:rPr>
          <w:rFonts w:hint="eastAsia" w:cs="仿宋_GB2312" w:asciiTheme="minorEastAsia" w:hAnsiTheme="minorEastAsia"/>
          <w:color w:val="000000" w:themeColor="text1"/>
          <w:sz w:val="28"/>
          <w:szCs w:val="28"/>
          <w14:textFill>
            <w14:solidFill>
              <w14:schemeClr w14:val="tx1"/>
            </w14:solidFill>
          </w14:textFill>
        </w:rPr>
        <w:t>，同时抢答到问题的同学可以获取分值；在“抢答”中，</w:t>
      </w:r>
      <w:r>
        <w:rPr>
          <w:rFonts w:cs="仿宋_GB2312" w:asciiTheme="minorEastAsia" w:hAnsiTheme="minorEastAsia"/>
          <w:color w:val="000000" w:themeColor="text1"/>
          <w:sz w:val="28"/>
          <w:szCs w:val="28"/>
          <w14:textFill>
            <w14:solidFill>
              <w14:schemeClr w14:val="tx1"/>
            </w14:solidFill>
          </w14:textFill>
        </w:rPr>
        <w:t>教师</w:t>
      </w:r>
      <w:r>
        <w:rPr>
          <w:rFonts w:hint="eastAsia" w:cs="仿宋_GB2312" w:asciiTheme="minorEastAsia" w:hAnsiTheme="minorEastAsia"/>
          <w:color w:val="000000" w:themeColor="text1"/>
          <w:sz w:val="28"/>
          <w:szCs w:val="28"/>
          <w14:textFill>
            <w14:solidFill>
              <w14:schemeClr w14:val="tx1"/>
            </w14:solidFill>
          </w14:textFill>
        </w:rPr>
        <w:t>在提出问题后，</w:t>
      </w:r>
      <w:r>
        <w:rPr>
          <w:rFonts w:cs="仿宋_GB2312" w:asciiTheme="minorEastAsia" w:hAnsiTheme="minorEastAsia"/>
          <w:color w:val="000000" w:themeColor="text1"/>
          <w:sz w:val="28"/>
          <w:szCs w:val="28"/>
          <w14:textFill>
            <w14:solidFill>
              <w14:schemeClr w14:val="tx1"/>
            </w14:solidFill>
          </w14:textFill>
        </w:rPr>
        <w:t>只需在开始抢答前设置抢答人数，在抢答后还可以手动评分</w:t>
      </w:r>
      <w:r>
        <w:rPr>
          <w:rFonts w:hint="eastAsia" w:cs="仿宋_GB2312" w:asciiTheme="minorEastAsia" w:hAnsiTheme="minorEastAsia"/>
          <w:color w:val="000000" w:themeColor="text1"/>
          <w:sz w:val="28"/>
          <w:szCs w:val="28"/>
          <w14:textFill>
            <w14:solidFill>
              <w14:schemeClr w14:val="tx1"/>
            </w14:solidFill>
          </w14:textFill>
        </w:rPr>
        <w:t>即可。</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通过“摇一摇”“抢答”环节，学生积极参与到教学中，为了在回答问题后获得教师较高的评分（即经验值），必定认真思考，仔细作答。</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2、点赞</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在云班课的各个活动中都有点赞加分功能，头脑风暴活动中有、答疑讨论活动中也有、课堂表现活动更是一个常规的加分渠道。</w:t>
      </w:r>
      <w:r>
        <w:rPr>
          <w:rFonts w:hint="eastAsia" w:cs="仿宋_GB2312" w:asciiTheme="minorEastAsia" w:hAnsiTheme="minorEastAsia"/>
          <w:color w:val="000000" w:themeColor="text1"/>
          <w:sz w:val="28"/>
          <w:szCs w:val="28"/>
          <w14:textFill>
            <w14:solidFill>
              <w14:schemeClr w14:val="tx1"/>
            </w14:solidFill>
          </w14:textFill>
        </w:rPr>
        <w:t>心理健康课程教学中，教师不</w:t>
      </w:r>
      <w:r>
        <w:rPr>
          <w:rFonts w:cs="仿宋_GB2312" w:asciiTheme="minorEastAsia" w:hAnsiTheme="minorEastAsia"/>
          <w:color w:val="000000" w:themeColor="text1"/>
          <w:sz w:val="28"/>
          <w:szCs w:val="28"/>
          <w14:textFill>
            <w14:solidFill>
              <w14:schemeClr w14:val="tx1"/>
            </w14:solidFill>
          </w14:textFill>
        </w:rPr>
        <w:t>吝惜“经验值”，大方地给学生点赞、加分，课堂会因此</w:t>
      </w:r>
      <w:r>
        <w:rPr>
          <w:rFonts w:hint="eastAsia" w:cs="仿宋_GB2312" w:asciiTheme="minorEastAsia" w:hAnsiTheme="minorEastAsia"/>
          <w:color w:val="000000" w:themeColor="text1"/>
          <w:sz w:val="28"/>
          <w:szCs w:val="28"/>
          <w14:textFill>
            <w14:solidFill>
              <w14:schemeClr w14:val="tx1"/>
            </w14:solidFill>
          </w14:textFill>
        </w:rPr>
        <w:t>更加活跃。</w:t>
      </w:r>
      <w:r>
        <w:rPr>
          <w:rFonts w:cs="仿宋_GB2312" w:asciiTheme="minorEastAsia" w:hAnsiTheme="minorEastAsia"/>
          <w:color w:val="000000" w:themeColor="text1"/>
          <w:sz w:val="28"/>
          <w:szCs w:val="28"/>
          <w14:textFill>
            <w14:solidFill>
              <w14:schemeClr w14:val="tx1"/>
            </w14:solidFill>
          </w14:textFill>
        </w:rPr>
        <w:t>比如，老师在答疑讨论活动中设置规则，他们自己不回答问题，而是用点赞加分的方式激励学生互相回答，学生互相学，</w:t>
      </w:r>
      <w:r>
        <w:rPr>
          <w:rFonts w:hint="eastAsia" w:cs="仿宋_GB2312" w:asciiTheme="minorEastAsia" w:hAnsiTheme="minorEastAsia"/>
          <w:color w:val="000000" w:themeColor="text1"/>
          <w:sz w:val="28"/>
          <w:szCs w:val="28"/>
          <w14:textFill>
            <w14:solidFill>
              <w14:schemeClr w14:val="tx1"/>
            </w14:solidFill>
          </w14:textFill>
        </w:rPr>
        <w:t>学生更会积极动脑。需要注意的是，教师在上</w:t>
      </w:r>
      <w:r>
        <w:rPr>
          <w:rFonts w:cs="仿宋_GB2312" w:asciiTheme="minorEastAsia" w:hAnsiTheme="minorEastAsia"/>
          <w:color w:val="000000" w:themeColor="text1"/>
          <w:sz w:val="28"/>
          <w:szCs w:val="28"/>
          <w14:textFill>
            <w14:solidFill>
              <w14:schemeClr w14:val="tx1"/>
            </w14:solidFill>
          </w14:textFill>
        </w:rPr>
        <w:t>第一堂课</w:t>
      </w:r>
      <w:r>
        <w:rPr>
          <w:rFonts w:hint="eastAsia" w:cs="仿宋_GB2312" w:asciiTheme="minorEastAsia" w:hAnsiTheme="minorEastAsia"/>
          <w:color w:val="000000" w:themeColor="text1"/>
          <w:sz w:val="28"/>
          <w:szCs w:val="28"/>
          <w14:textFill>
            <w14:solidFill>
              <w14:schemeClr w14:val="tx1"/>
            </w14:solidFill>
          </w14:textFill>
        </w:rPr>
        <w:t>时</w:t>
      </w:r>
      <w:r>
        <w:rPr>
          <w:rFonts w:cs="仿宋_GB2312" w:asciiTheme="minorEastAsia" w:hAnsiTheme="minorEastAsia"/>
          <w:color w:val="000000" w:themeColor="text1"/>
          <w:sz w:val="28"/>
          <w:szCs w:val="28"/>
          <w14:textFill>
            <w14:solidFill>
              <w14:schemeClr w14:val="tx1"/>
            </w14:solidFill>
          </w14:textFill>
        </w:rPr>
        <w:t>，</w:t>
      </w:r>
      <w:r>
        <w:rPr>
          <w:rFonts w:hint="eastAsia" w:cs="仿宋_GB2312" w:asciiTheme="minorEastAsia" w:hAnsiTheme="minorEastAsia"/>
          <w:color w:val="000000" w:themeColor="text1"/>
          <w:sz w:val="28"/>
          <w:szCs w:val="28"/>
          <w14:textFill>
            <w14:solidFill>
              <w14:schemeClr w14:val="tx1"/>
            </w14:solidFill>
          </w14:textFill>
        </w:rPr>
        <w:t>将</w:t>
      </w:r>
      <w:r>
        <w:rPr>
          <w:rFonts w:cs="仿宋_GB2312" w:asciiTheme="minorEastAsia" w:hAnsiTheme="minorEastAsia"/>
          <w:color w:val="000000" w:themeColor="text1"/>
          <w:sz w:val="28"/>
          <w:szCs w:val="28"/>
          <w14:textFill>
            <w14:solidFill>
              <w14:schemeClr w14:val="tx1"/>
            </w14:solidFill>
          </w14:textFill>
        </w:rPr>
        <w:t>激励规则</w:t>
      </w:r>
      <w:r>
        <w:rPr>
          <w:rFonts w:hint="eastAsia" w:cs="仿宋_GB2312" w:asciiTheme="minorEastAsia" w:hAnsiTheme="minorEastAsia"/>
          <w:color w:val="000000" w:themeColor="text1"/>
          <w:sz w:val="28"/>
          <w:szCs w:val="28"/>
          <w14:textFill>
            <w14:solidFill>
              <w14:schemeClr w14:val="tx1"/>
            </w14:solidFill>
          </w14:textFill>
        </w:rPr>
        <w:t>告知学生，</w:t>
      </w:r>
      <w:r>
        <w:rPr>
          <w:rFonts w:cs="仿宋_GB2312" w:asciiTheme="minorEastAsia" w:hAnsiTheme="minorEastAsia"/>
          <w:color w:val="000000" w:themeColor="text1"/>
          <w:sz w:val="28"/>
          <w:szCs w:val="28"/>
          <w14:textFill>
            <w14:solidFill>
              <w14:schemeClr w14:val="tx1"/>
            </w14:solidFill>
          </w14:textFill>
        </w:rPr>
        <w:t>让他们在</w:t>
      </w:r>
      <w:r>
        <w:rPr>
          <w:rFonts w:hint="eastAsia" w:cs="仿宋_GB2312" w:asciiTheme="minorEastAsia" w:hAnsiTheme="minorEastAsia"/>
          <w:color w:val="000000" w:themeColor="text1"/>
          <w:sz w:val="28"/>
          <w:szCs w:val="28"/>
          <w14:textFill>
            <w14:solidFill>
              <w14:schemeClr w14:val="tx1"/>
            </w14:solidFill>
          </w14:textFill>
        </w:rPr>
        <w:t>教师</w:t>
      </w:r>
      <w:r>
        <w:rPr>
          <w:rFonts w:cs="仿宋_GB2312" w:asciiTheme="minorEastAsia" w:hAnsiTheme="minorEastAsia"/>
          <w:color w:val="000000" w:themeColor="text1"/>
          <w:sz w:val="28"/>
          <w:szCs w:val="28"/>
          <w14:textFill>
            <w14:solidFill>
              <w14:schemeClr w14:val="tx1"/>
            </w14:solidFill>
          </w14:textFill>
        </w:rPr>
        <w:t>的点赞指挥棒下</w:t>
      </w:r>
      <w:r>
        <w:rPr>
          <w:rFonts w:hint="eastAsia" w:cs="仿宋_GB2312" w:asciiTheme="minorEastAsia" w:hAnsiTheme="minorEastAsia"/>
          <w:color w:val="000000" w:themeColor="text1"/>
          <w:sz w:val="28"/>
          <w:szCs w:val="28"/>
          <w14:textFill>
            <w14:solidFill>
              <w14:schemeClr w14:val="tx1"/>
            </w14:solidFill>
          </w14:textFill>
        </w:rPr>
        <w:t>快乐学习。</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drawing>
          <wp:anchor distT="89535" distB="89535" distL="89535" distR="89535" simplePos="0" relativeHeight="251658240" behindDoc="1" locked="0" layoutInCell="1" allowOverlap="1">
            <wp:simplePos x="0" y="0"/>
            <wp:positionH relativeFrom="column">
              <wp:posOffset>1254125</wp:posOffset>
            </wp:positionH>
            <wp:positionV relativeFrom="paragraph">
              <wp:posOffset>-12700</wp:posOffset>
            </wp:positionV>
            <wp:extent cx="2702560" cy="2252345"/>
            <wp:effectExtent l="0" t="0" r="2540" b="14605"/>
            <wp:wrapNone/>
            <wp:docPr id="3" name="图片模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模式2"/>
                    <pic:cNvPicPr>
                      <a:picLocks noChangeAspect="1"/>
                    </pic:cNvPicPr>
                  </pic:nvPicPr>
                  <pic:blipFill>
                    <a:blip r:embed="rId10" cstate="print"/>
                    <a:stretch>
                      <a:fillRect/>
                    </a:stretch>
                  </pic:blipFill>
                  <pic:spPr>
                    <a:xfrm>
                      <a:off x="0" y="0"/>
                      <a:ext cx="2702560" cy="2252345"/>
                    </a:xfrm>
                    <a:prstGeom prst="rect">
                      <a:avLst/>
                    </a:prstGeom>
                    <a:noFill/>
                    <a:ln w="12700">
                      <a:noFill/>
                    </a:ln>
                  </pic:spPr>
                </pic:pic>
              </a:graphicData>
            </a:graphic>
          </wp:anchor>
        </w:drawing>
      </w:r>
      <w:r>
        <w:rPr>
          <w:rFonts w:hint="eastAsia" w:cs="仿宋_GB2312" w:asciiTheme="minorEastAsia" w:hAnsiTheme="minorEastAsia"/>
          <w:color w:val="000000" w:themeColor="text1"/>
          <w:sz w:val="28"/>
          <w:szCs w:val="28"/>
          <w14:textFill>
            <w14:solidFill>
              <w14:schemeClr w14:val="tx1"/>
            </w14:solidFill>
          </w14:textFill>
        </w:rPr>
        <w:t xml:space="preserve">  </w:t>
      </w: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从某位学生的“课堂表现”及“点赞”统计数据可以看出，我校在运用蓝墨云班课开展教学时，该学生的心理健康课程的“课堂表现”分值是15，呈现优秀状态，可见他心理健康课的课堂教学参与度比较高；“被老师点赞加分”8个分值，权重占到了8，呈现优秀状态，可见他在心理健康堂的学习是十分积极。相反，若某个学生参与度不高，相应的分值必定不高。因此，学生可以根据分值情况，调整自己的课堂学习。就目前我校心理健康课程在蓝墨云班课的统计数据显示，学生的“课堂表现”及“点赞”数值都比较高，可见学生在课堂教学中比较配合教师教学，能较好的参与到课堂教学活动。</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此外，在教学实践中，笔者发现充分利用</w:t>
      </w:r>
      <w:r>
        <w:rPr>
          <w:rFonts w:cs="仿宋_GB2312" w:asciiTheme="minorEastAsia" w:hAnsiTheme="minorEastAsia"/>
          <w:color w:val="000000" w:themeColor="text1"/>
          <w:sz w:val="28"/>
          <w:szCs w:val="28"/>
          <w14:textFill>
            <w14:solidFill>
              <w14:schemeClr w14:val="tx1"/>
            </w14:solidFill>
          </w14:textFill>
        </w:rPr>
        <w:t>云班课</w:t>
      </w:r>
      <w:r>
        <w:rPr>
          <w:rFonts w:hint="eastAsia" w:cs="仿宋_GB2312" w:asciiTheme="minorEastAsia" w:hAnsiTheme="minorEastAsia"/>
          <w:color w:val="000000" w:themeColor="text1"/>
          <w:sz w:val="28"/>
          <w:szCs w:val="28"/>
          <w14:textFill>
            <w14:solidFill>
              <w14:schemeClr w14:val="tx1"/>
            </w14:solidFill>
          </w14:textFill>
        </w:rPr>
        <w:t>的</w:t>
      </w:r>
      <w:r>
        <w:rPr>
          <w:rFonts w:cs="仿宋_GB2312" w:asciiTheme="minorEastAsia" w:hAnsiTheme="minorEastAsia"/>
          <w:color w:val="000000" w:themeColor="text1"/>
          <w:sz w:val="28"/>
          <w:szCs w:val="28"/>
          <w14:textFill>
            <w14:solidFill>
              <w14:schemeClr w14:val="tx1"/>
            </w14:solidFill>
          </w14:textFill>
        </w:rPr>
        <w:t>投屏模式，对学生点赞的动作进行视觉的强化，</w:t>
      </w:r>
      <w:r>
        <w:rPr>
          <w:rFonts w:hint="eastAsia" w:cs="仿宋_GB2312" w:asciiTheme="minorEastAsia" w:hAnsiTheme="minorEastAsia"/>
          <w:color w:val="000000" w:themeColor="text1"/>
          <w:sz w:val="28"/>
          <w:szCs w:val="28"/>
          <w14:textFill>
            <w14:solidFill>
              <w14:schemeClr w14:val="tx1"/>
            </w14:solidFill>
          </w14:textFill>
        </w:rPr>
        <w:t>教师</w:t>
      </w:r>
      <w:r>
        <w:rPr>
          <w:rFonts w:cs="仿宋_GB2312" w:asciiTheme="minorEastAsia" w:hAnsiTheme="minorEastAsia"/>
          <w:color w:val="000000" w:themeColor="text1"/>
          <w:sz w:val="28"/>
          <w:szCs w:val="28"/>
          <w14:textFill>
            <w14:solidFill>
              <w14:schemeClr w14:val="tx1"/>
            </w14:solidFill>
          </w14:textFill>
        </w:rPr>
        <w:t>的每个点赞都会在屏幕上闪现学生的头像</w:t>
      </w:r>
      <w:r>
        <w:rPr>
          <w:rFonts w:hint="eastAsia" w:cs="仿宋_GB2312" w:asciiTheme="minorEastAsia" w:hAnsiTheme="minorEastAsia"/>
          <w:color w:val="000000" w:themeColor="text1"/>
          <w:sz w:val="28"/>
          <w:szCs w:val="28"/>
          <w14:textFill>
            <w14:solidFill>
              <w14:schemeClr w14:val="tx1"/>
            </w14:solidFill>
          </w14:textFill>
        </w:rPr>
        <w:t>，并</w:t>
      </w:r>
      <w:r>
        <w:rPr>
          <w:rFonts w:cs="仿宋_GB2312" w:asciiTheme="minorEastAsia" w:hAnsiTheme="minorEastAsia"/>
          <w:color w:val="000000" w:themeColor="text1"/>
          <w:sz w:val="28"/>
          <w:szCs w:val="28"/>
          <w14:textFill>
            <w14:solidFill>
              <w14:schemeClr w14:val="tx1"/>
            </w14:solidFill>
          </w14:textFill>
        </w:rPr>
        <w:t>把</w:t>
      </w:r>
      <w:r>
        <w:rPr>
          <w:rFonts w:hint="eastAsia" w:cs="仿宋_GB2312" w:asciiTheme="minorEastAsia" w:hAnsiTheme="minorEastAsia"/>
          <w:color w:val="000000" w:themeColor="text1"/>
          <w:sz w:val="28"/>
          <w:szCs w:val="28"/>
          <w14:textFill>
            <w14:solidFill>
              <w14:schemeClr w14:val="tx1"/>
            </w14:solidFill>
          </w14:textFill>
        </w:rPr>
        <w:t>教师</w:t>
      </w:r>
      <w:r>
        <w:rPr>
          <w:rFonts w:cs="仿宋_GB2312" w:asciiTheme="minorEastAsia" w:hAnsiTheme="minorEastAsia"/>
          <w:color w:val="000000" w:themeColor="text1"/>
          <w:sz w:val="28"/>
          <w:szCs w:val="28"/>
          <w14:textFill>
            <w14:solidFill>
              <w14:schemeClr w14:val="tx1"/>
            </w14:solidFill>
          </w14:textFill>
        </w:rPr>
        <w:t>的赏识写在屏上，学生</w:t>
      </w:r>
      <w:r>
        <w:rPr>
          <w:rFonts w:hint="eastAsia" w:cs="仿宋_GB2312" w:asciiTheme="minorEastAsia" w:hAnsiTheme="minorEastAsia"/>
          <w:color w:val="000000" w:themeColor="text1"/>
          <w:sz w:val="28"/>
          <w:szCs w:val="28"/>
          <w14:textFill>
            <w14:solidFill>
              <w14:schemeClr w14:val="tx1"/>
            </w14:solidFill>
          </w14:textFill>
        </w:rPr>
        <w:t>便会</w:t>
      </w:r>
      <w:r>
        <w:rPr>
          <w:rFonts w:cs="仿宋_GB2312" w:asciiTheme="minorEastAsia" w:hAnsiTheme="minorEastAsia"/>
          <w:color w:val="000000" w:themeColor="text1"/>
          <w:sz w:val="28"/>
          <w:szCs w:val="28"/>
          <w14:textFill>
            <w14:solidFill>
              <w14:schemeClr w14:val="tx1"/>
            </w14:solidFill>
          </w14:textFill>
        </w:rPr>
        <w:t>乐在心里，</w:t>
      </w:r>
      <w:r>
        <w:rPr>
          <w:rFonts w:hint="eastAsia" w:cs="仿宋_GB2312" w:asciiTheme="minorEastAsia" w:hAnsiTheme="minorEastAsia"/>
          <w:color w:val="000000" w:themeColor="text1"/>
          <w:sz w:val="28"/>
          <w:szCs w:val="28"/>
          <w14:textFill>
            <w14:solidFill>
              <w14:schemeClr w14:val="tx1"/>
            </w14:solidFill>
          </w14:textFill>
        </w:rPr>
        <w:t>教学更能收到事半功倍的效果，有利于教学活动进一步开展。</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三、教学评价改革从挂科预警显现</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传统的中职教学评价方式是，教师在课程学习结束时，以期末终结性考核评价为主，重视学习结果，忽略对学习过程的关注。</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drawing>
          <wp:anchor distT="0" distB="0" distL="0" distR="0" simplePos="0" relativeHeight="251659264" behindDoc="1" locked="0" layoutInCell="1" allowOverlap="1">
            <wp:simplePos x="0" y="0"/>
            <wp:positionH relativeFrom="column">
              <wp:posOffset>1424940</wp:posOffset>
            </wp:positionH>
            <wp:positionV relativeFrom="paragraph">
              <wp:posOffset>43180</wp:posOffset>
            </wp:positionV>
            <wp:extent cx="2114550" cy="2886075"/>
            <wp:effectExtent l="0" t="0" r="0" b="0"/>
            <wp:wrapNone/>
            <wp:docPr id="4" name="图片模式3"/>
            <wp:cNvGraphicFramePr/>
            <a:graphic xmlns:a="http://schemas.openxmlformats.org/drawingml/2006/main">
              <a:graphicData uri="http://schemas.openxmlformats.org/drawingml/2006/picture">
                <pic:pic xmlns:pic="http://schemas.openxmlformats.org/drawingml/2006/picture">
                  <pic:nvPicPr>
                    <pic:cNvPr id="4" name="图片模式3"/>
                    <pic:cNvPicPr/>
                  </pic:nvPicPr>
                  <pic:blipFill>
                    <a:blip r:embed="rId11" cstate="print"/>
                    <a:stretch>
                      <a:fillRect/>
                    </a:stretch>
                  </pic:blipFill>
                  <pic:spPr>
                    <a:xfrm>
                      <a:off x="0" y="0"/>
                      <a:ext cx="2114550" cy="2886075"/>
                    </a:xfrm>
                    <a:prstGeom prst="rect">
                      <a:avLst/>
                    </a:prstGeom>
                    <a:noFill/>
                    <a:ln w="12700">
                      <a:noFill/>
                    </a:ln>
                  </pic:spPr>
                </pic:pic>
              </a:graphicData>
            </a:graphic>
          </wp:anchor>
        </w:drawing>
      </w:r>
      <w:r>
        <w:rPr>
          <w:rFonts w:hint="eastAsia" w:cs="仿宋_GB2312" w:asciiTheme="minorEastAsia" w:hAnsiTheme="minorEastAsia"/>
          <w:color w:val="000000" w:themeColor="text1"/>
          <w:sz w:val="28"/>
          <w:szCs w:val="28"/>
          <w14:textFill>
            <w14:solidFill>
              <w14:schemeClr w14:val="tx1"/>
            </w14:solidFill>
          </w14:textFill>
        </w:rPr>
        <w:t xml:space="preserve">   </w:t>
      </w: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hint="eastAsia" w:cs="仿宋_GB2312" w:asciiTheme="minorEastAsia" w:hAnsiTheme="minorEastAsia"/>
          <w:color w:val="000000" w:themeColor="text1"/>
          <w:sz w:val="28"/>
          <w:szCs w:val="28"/>
          <w14:textFill>
            <w14:solidFill>
              <w14:schemeClr w14:val="tx1"/>
            </w14:solidFill>
          </w14:textFill>
        </w:rPr>
      </w:pP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hint="eastAsia" w:cs="仿宋_GB2312" w:asciiTheme="minorEastAsia" w:hAnsiTheme="minorEastAsia"/>
          <w:color w:val="000000" w:themeColor="text1"/>
          <w:sz w:val="28"/>
          <w:szCs w:val="28"/>
          <w14:textFill>
            <w14:solidFill>
              <w14:schemeClr w14:val="tx1"/>
            </w14:solidFill>
          </w14:textFill>
        </w:rPr>
        <w:t>从蓝墨云班课的统计图可以看出，我校在运用蓝墨</w:t>
      </w:r>
      <w:r>
        <w:rPr>
          <w:rFonts w:cs="仿宋_GB2312" w:asciiTheme="minorEastAsia" w:hAnsiTheme="minorEastAsia"/>
          <w:color w:val="000000" w:themeColor="text1"/>
          <w:sz w:val="28"/>
          <w:szCs w:val="28"/>
          <w14:textFill>
            <w14:solidFill>
              <w14:schemeClr w14:val="tx1"/>
            </w14:solidFill>
          </w14:textFill>
        </w:rPr>
        <w:t>云班课开展教学时，心理健康课程设计了多个权重，包括考试成绩、资源学习、课堂签到、课堂表现、讨论答疑、头脑风暴、作业或小组学习等，较为全面的开展班课教学活动，能很好知识、技能和情感态度上评价学生。教师通过云班课平台能够随时了解学生各类资源的学习进度，以及不同活动的参与情况，进而给予激励和预警。对于一些意料之外的教学问题，及时调整教学策略。鉴于我校学生在心理健康课程中使用蓝墨云班课的兴趣浓厚，暂时无学生出现挂科预警。</w:t>
      </w:r>
    </w:p>
    <w:p>
      <w:pPr>
        <w:ind w:firstLine="560" w:firstLineChars="200"/>
        <w:rPr>
          <w:rFonts w:cs="仿宋_GB2312" w:asciiTheme="minorEastAsia" w:hAnsiTheme="minorEastAsia"/>
          <w:color w:val="000000" w:themeColor="text1"/>
          <w:sz w:val="28"/>
          <w:szCs w:val="28"/>
          <w14:textFill>
            <w14:solidFill>
              <w14:schemeClr w14:val="tx1"/>
            </w14:solidFill>
          </w14:textFill>
        </w:rPr>
      </w:pPr>
      <w:r>
        <w:rPr>
          <w:rFonts w:cs="仿宋_GB2312" w:asciiTheme="minorEastAsia" w:hAnsiTheme="minorEastAsia"/>
          <w:color w:val="000000" w:themeColor="text1"/>
          <w:sz w:val="28"/>
          <w:szCs w:val="28"/>
          <w14:textFill>
            <w14:solidFill>
              <w14:schemeClr w14:val="tx1"/>
            </w14:solidFill>
          </w14:textFill>
        </w:rPr>
        <w:t>我校通过在心理健康课中使用现代化教学手段，利用蓝墨云班课开展教育教学活动，较好的吸引力学生参与到教学中，提升了课堂教学效率。同时，我们也应该看到存在的一些问题，比如教师如何处理学生运用手机参与课堂教学的有效性，使更多学生参与到蓝墨云班课的课堂教学中，该问题尚在进一步研究。就目前，使用蓝墨云班课教学的课堂情况看，我校教师是在课前收取手机，待需要学生用APP参与课堂教学时，将手机下发，这样就比较好的保证了有效教学。</w:t>
      </w:r>
    </w:p>
    <w:p>
      <w:pPr>
        <w:pStyle w:val="9"/>
        <w:spacing w:beforeAutospacing="0" w:afterAutospacing="0"/>
        <w:ind w:firstLine="562" w:firstLineChars="200"/>
        <w:jc w:val="both"/>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8.主要问题和改进措施</w:t>
      </w:r>
    </w:p>
    <w:p>
      <w:pPr>
        <w:pStyle w:val="2"/>
        <w:spacing w:before="0" w:after="0" w:line="240" w:lineRule="auto"/>
        <w:ind w:firstLine="562" w:firstLineChars="200"/>
        <w:rPr>
          <w:rFonts w:asciiTheme="minorEastAsia" w:hAnsiTheme="minorEastAsia" w:eastAsiaTheme="minorEastAsia"/>
          <w:sz w:val="28"/>
          <w:szCs w:val="28"/>
        </w:rPr>
      </w:pPr>
      <w:bookmarkStart w:id="4" w:name="_Toc525136643"/>
      <w:r>
        <w:rPr>
          <w:rFonts w:hint="eastAsia" w:asciiTheme="minorEastAsia" w:hAnsiTheme="minorEastAsia" w:eastAsiaTheme="minorEastAsia"/>
          <w:sz w:val="28"/>
          <w:szCs w:val="28"/>
        </w:rPr>
        <w:t>8.1存在问题</w:t>
      </w:r>
      <w:bookmarkEnd w:id="4"/>
    </w:p>
    <w:p>
      <w:pPr>
        <w:widowControl/>
        <w:shd w:val="clear" w:color="auto" w:fill="FFFFFF"/>
        <w:ind w:firstLine="560" w:firstLineChars="200"/>
        <w:rPr>
          <w:rFonts w:asciiTheme="minorEastAsia" w:hAnsiTheme="minorEastAsia"/>
          <w:sz w:val="28"/>
          <w:szCs w:val="28"/>
        </w:rPr>
      </w:pPr>
      <w:r>
        <w:rPr>
          <w:rFonts w:asciiTheme="minorEastAsia" w:hAnsiTheme="minorEastAsia"/>
          <w:sz w:val="28"/>
          <w:szCs w:val="28"/>
        </w:rPr>
        <w:t>经过全校教职工多年来的努力</w:t>
      </w:r>
      <w:r>
        <w:rPr>
          <w:rFonts w:hint="eastAsia" w:asciiTheme="minorEastAsia" w:hAnsiTheme="minorEastAsia"/>
          <w:sz w:val="28"/>
          <w:szCs w:val="28"/>
        </w:rPr>
        <w:t>，</w:t>
      </w:r>
      <w:r>
        <w:rPr>
          <w:rFonts w:asciiTheme="minorEastAsia" w:hAnsiTheme="minorEastAsia"/>
          <w:sz w:val="28"/>
          <w:szCs w:val="28"/>
        </w:rPr>
        <w:t>学校在办学特色</w:t>
      </w:r>
      <w:r>
        <w:rPr>
          <w:rFonts w:hint="eastAsia" w:asciiTheme="minorEastAsia" w:hAnsiTheme="minorEastAsia"/>
          <w:sz w:val="28"/>
          <w:szCs w:val="28"/>
        </w:rPr>
        <w:t>、办学效益</w:t>
      </w:r>
      <w:r>
        <w:rPr>
          <w:rFonts w:asciiTheme="minorEastAsia" w:hAnsiTheme="minorEastAsia"/>
          <w:sz w:val="28"/>
          <w:szCs w:val="28"/>
        </w:rPr>
        <w:t>方面取得了一些成绩</w:t>
      </w:r>
      <w:r>
        <w:rPr>
          <w:rFonts w:hint="eastAsia" w:asciiTheme="minorEastAsia" w:hAnsiTheme="minorEastAsia"/>
          <w:sz w:val="28"/>
          <w:szCs w:val="28"/>
        </w:rPr>
        <w:t>，</w:t>
      </w:r>
      <w:r>
        <w:rPr>
          <w:rFonts w:asciiTheme="minorEastAsia" w:hAnsiTheme="minorEastAsia"/>
          <w:sz w:val="28"/>
          <w:szCs w:val="28"/>
        </w:rPr>
        <w:t>但与党</w:t>
      </w:r>
      <w:r>
        <w:rPr>
          <w:rFonts w:hint="eastAsia" w:asciiTheme="minorEastAsia" w:hAnsiTheme="minorEastAsia"/>
          <w:sz w:val="28"/>
          <w:szCs w:val="28"/>
        </w:rPr>
        <w:t>在</w:t>
      </w:r>
      <w:r>
        <w:rPr>
          <w:rFonts w:asciiTheme="minorEastAsia" w:hAnsiTheme="minorEastAsia"/>
          <w:sz w:val="28"/>
          <w:szCs w:val="28"/>
        </w:rPr>
        <w:t>十九大对职业教育提出的</w:t>
      </w:r>
      <w:r>
        <w:rPr>
          <w:rFonts w:hint="eastAsia" w:asciiTheme="minorEastAsia" w:hAnsiTheme="minorEastAsia"/>
          <w:sz w:val="28"/>
          <w:szCs w:val="28"/>
        </w:rPr>
        <w:t>“</w:t>
      </w:r>
      <w:r>
        <w:rPr>
          <w:rFonts w:asciiTheme="minorEastAsia" w:hAnsiTheme="minorEastAsia"/>
          <w:sz w:val="28"/>
          <w:szCs w:val="28"/>
        </w:rPr>
        <w:t>更好的教育筑就更好的中国</w:t>
      </w:r>
      <w:r>
        <w:rPr>
          <w:rFonts w:hint="eastAsia" w:asciiTheme="minorEastAsia" w:hAnsiTheme="minorEastAsia"/>
          <w:sz w:val="28"/>
          <w:szCs w:val="28"/>
        </w:rPr>
        <w:t>”</w:t>
      </w:r>
      <w:r>
        <w:rPr>
          <w:rFonts w:asciiTheme="minorEastAsia" w:hAnsiTheme="minorEastAsia"/>
          <w:sz w:val="28"/>
          <w:szCs w:val="28"/>
        </w:rPr>
        <w:t>的要求相比</w:t>
      </w:r>
      <w:r>
        <w:rPr>
          <w:rFonts w:hint="eastAsia" w:asciiTheme="minorEastAsia" w:hAnsiTheme="minorEastAsia"/>
          <w:sz w:val="28"/>
          <w:szCs w:val="28"/>
        </w:rPr>
        <w:t>，</w:t>
      </w:r>
      <w:r>
        <w:rPr>
          <w:rFonts w:asciiTheme="minorEastAsia" w:hAnsiTheme="minorEastAsia"/>
          <w:sz w:val="28"/>
          <w:szCs w:val="28"/>
        </w:rPr>
        <w:t>与广大学生与家长</w:t>
      </w:r>
      <w:r>
        <w:rPr>
          <w:rFonts w:hint="eastAsia" w:asciiTheme="minorEastAsia" w:hAnsiTheme="minorEastAsia"/>
          <w:sz w:val="28"/>
          <w:szCs w:val="28"/>
        </w:rPr>
        <w:t>对美好生活的向往与追</w:t>
      </w:r>
      <w:r>
        <w:rPr>
          <w:rFonts w:asciiTheme="minorEastAsia" w:hAnsiTheme="minorEastAsia"/>
          <w:sz w:val="28"/>
          <w:szCs w:val="28"/>
        </w:rPr>
        <w:t>求相比</w:t>
      </w:r>
      <w:r>
        <w:rPr>
          <w:rFonts w:hint="eastAsia" w:asciiTheme="minorEastAsia" w:hAnsiTheme="minorEastAsia"/>
          <w:sz w:val="28"/>
          <w:szCs w:val="28"/>
        </w:rPr>
        <w:t>，</w:t>
      </w:r>
      <w:r>
        <w:rPr>
          <w:rFonts w:asciiTheme="minorEastAsia" w:hAnsiTheme="minorEastAsia"/>
          <w:sz w:val="28"/>
          <w:szCs w:val="28"/>
        </w:rPr>
        <w:t>还存在着较大的差距</w:t>
      </w:r>
      <w:r>
        <w:rPr>
          <w:rFonts w:hint="eastAsia" w:asciiTheme="minorEastAsia" w:hAnsiTheme="minorEastAsia"/>
          <w:sz w:val="28"/>
          <w:szCs w:val="28"/>
        </w:rPr>
        <w:t>，</w:t>
      </w:r>
      <w:r>
        <w:rPr>
          <w:rFonts w:asciiTheme="minorEastAsia" w:hAnsiTheme="minorEastAsia"/>
          <w:sz w:val="28"/>
          <w:szCs w:val="28"/>
        </w:rPr>
        <w:t>具体表现为:</w:t>
      </w:r>
    </w:p>
    <w:p>
      <w:pPr>
        <w:ind w:firstLine="562" w:firstLineChars="200"/>
        <w:rPr>
          <w:rFonts w:asciiTheme="minorEastAsia" w:hAnsiTheme="minorEastAsia"/>
          <w:b/>
          <w:sz w:val="28"/>
          <w:szCs w:val="28"/>
        </w:rPr>
      </w:pPr>
      <w:r>
        <w:rPr>
          <w:rFonts w:hint="eastAsia" w:asciiTheme="minorEastAsia" w:hAnsiTheme="minorEastAsia"/>
          <w:b/>
          <w:sz w:val="28"/>
          <w:szCs w:val="28"/>
        </w:rPr>
        <w:t>8.1.1学校信息化建设较为滞后</w:t>
      </w:r>
    </w:p>
    <w:p>
      <w:pPr>
        <w:ind w:firstLine="560" w:firstLineChars="200"/>
        <w:rPr>
          <w:rFonts w:hint="eastAsia"/>
          <w:sz w:val="28"/>
          <w:szCs w:val="28"/>
        </w:rPr>
      </w:pPr>
      <w:r>
        <w:rPr>
          <w:rFonts w:hint="eastAsia"/>
          <w:sz w:val="28"/>
          <w:szCs w:val="28"/>
        </w:rPr>
        <w:t>学校信息化平台建设比较滞后，影响了学校</w:t>
      </w:r>
      <w:r>
        <w:rPr>
          <w:rFonts w:hint="eastAsia" w:ascii="宋体" w:hAnsi="宋体" w:cs="仿宋_GB2312"/>
          <w:sz w:val="28"/>
          <w:szCs w:val="28"/>
        </w:rPr>
        <w:t>信息技术在教学、学生、行政、财务、图书、档案、企业实训等方面融合</w:t>
      </w:r>
      <w:r>
        <w:rPr>
          <w:rFonts w:hint="eastAsia"/>
          <w:sz w:val="28"/>
          <w:szCs w:val="28"/>
        </w:rPr>
        <w:t>，制约了教学管理工作效率及质量控制工作。</w:t>
      </w:r>
    </w:p>
    <w:p>
      <w:pPr>
        <w:widowControl/>
        <w:shd w:val="clear" w:color="auto" w:fill="FFFFFF"/>
        <w:ind w:firstLine="562" w:firstLineChars="200"/>
        <w:rPr>
          <w:rFonts w:asciiTheme="minorEastAsia" w:hAnsiTheme="minorEastAsia"/>
          <w:b/>
          <w:sz w:val="28"/>
          <w:szCs w:val="28"/>
        </w:rPr>
      </w:pPr>
      <w:r>
        <w:rPr>
          <w:rFonts w:hint="eastAsia" w:asciiTheme="minorEastAsia" w:hAnsiTheme="minorEastAsia"/>
          <w:b/>
          <w:sz w:val="28"/>
          <w:szCs w:val="28"/>
        </w:rPr>
        <w:t>8.1.2</w:t>
      </w:r>
      <w:r>
        <w:rPr>
          <w:rFonts w:asciiTheme="minorEastAsia" w:hAnsiTheme="minorEastAsia"/>
          <w:b/>
          <w:sz w:val="28"/>
          <w:szCs w:val="28"/>
        </w:rPr>
        <w:t>学校</w:t>
      </w:r>
      <w:r>
        <w:rPr>
          <w:rFonts w:hint="eastAsia" w:asciiTheme="minorEastAsia" w:hAnsiTheme="minorEastAsia"/>
          <w:b/>
          <w:sz w:val="28"/>
          <w:szCs w:val="28"/>
        </w:rPr>
        <w:t>办学条件、师资队伍结构有待进一步改善和优化</w:t>
      </w:r>
    </w:p>
    <w:p>
      <w:pPr>
        <w:adjustRightInd w:val="0"/>
        <w:ind w:firstLine="560" w:firstLineChars="200"/>
        <w:rPr>
          <w:rFonts w:asciiTheme="minorEastAsia" w:hAnsiTheme="minorEastAsia"/>
          <w:sz w:val="28"/>
          <w:szCs w:val="28"/>
        </w:rPr>
      </w:pPr>
      <w:r>
        <w:rPr>
          <w:rFonts w:hint="eastAsia" w:asciiTheme="minorEastAsia" w:hAnsiTheme="minorEastAsia"/>
          <w:sz w:val="28"/>
          <w:szCs w:val="28"/>
        </w:rPr>
        <w:t>学</w:t>
      </w:r>
      <w:r>
        <w:rPr>
          <w:rFonts w:asciiTheme="minorEastAsia" w:hAnsiTheme="minorEastAsia"/>
          <w:sz w:val="28"/>
          <w:szCs w:val="28"/>
        </w:rPr>
        <w:t>校</w:t>
      </w:r>
      <w:r>
        <w:rPr>
          <w:rFonts w:hint="eastAsia" w:asciiTheme="minorEastAsia" w:hAnsiTheme="minorEastAsia"/>
          <w:sz w:val="28"/>
          <w:szCs w:val="28"/>
        </w:rPr>
        <w:t>所开设的</w:t>
      </w:r>
      <w:r>
        <w:rPr>
          <w:rFonts w:asciiTheme="minorEastAsia" w:hAnsiTheme="minorEastAsia"/>
          <w:sz w:val="28"/>
          <w:szCs w:val="28"/>
        </w:rPr>
        <w:t>专业</w:t>
      </w:r>
      <w:r>
        <w:rPr>
          <w:rFonts w:hint="eastAsia" w:asciiTheme="minorEastAsia" w:hAnsiTheme="minorEastAsia"/>
          <w:sz w:val="28"/>
          <w:szCs w:val="28"/>
        </w:rPr>
        <w:t>以</w:t>
      </w:r>
      <w:r>
        <w:rPr>
          <w:rFonts w:asciiTheme="minorEastAsia" w:hAnsiTheme="minorEastAsia"/>
          <w:sz w:val="28"/>
          <w:szCs w:val="28"/>
        </w:rPr>
        <w:t>工科类</w:t>
      </w:r>
      <w:r>
        <w:rPr>
          <w:rFonts w:hint="eastAsia" w:asciiTheme="minorEastAsia" w:hAnsiTheme="minorEastAsia"/>
          <w:sz w:val="28"/>
          <w:szCs w:val="28"/>
        </w:rPr>
        <w:t>为主，</w:t>
      </w:r>
      <w:r>
        <w:rPr>
          <w:rFonts w:asciiTheme="minorEastAsia" w:hAnsiTheme="minorEastAsia"/>
          <w:sz w:val="28"/>
          <w:szCs w:val="28"/>
        </w:rPr>
        <w:t>实训设备</w:t>
      </w:r>
      <w:r>
        <w:rPr>
          <w:rFonts w:hint="eastAsia" w:asciiTheme="minorEastAsia" w:hAnsiTheme="minorEastAsia"/>
          <w:sz w:val="28"/>
          <w:szCs w:val="28"/>
        </w:rPr>
        <w:t>须紧随技术创新和产业升级，学校现有的“智能制造”、“新能源”等教学仪器和设备，尚难以</w:t>
      </w:r>
      <w:r>
        <w:rPr>
          <w:rFonts w:asciiTheme="minorEastAsia" w:hAnsiTheme="minorEastAsia"/>
          <w:sz w:val="28"/>
          <w:szCs w:val="28"/>
        </w:rPr>
        <w:t>适应专业发展和高技能人才培养</w:t>
      </w:r>
      <w:r>
        <w:rPr>
          <w:rFonts w:hint="eastAsia" w:asciiTheme="minorEastAsia" w:hAnsiTheme="minorEastAsia"/>
          <w:sz w:val="28"/>
          <w:szCs w:val="28"/>
        </w:rPr>
        <w:t>的需求；有实践经验的专业教师队伍还有待加强、“双师型”教师在质量上还有待于提高。</w:t>
      </w:r>
    </w:p>
    <w:p>
      <w:pPr>
        <w:widowControl/>
        <w:shd w:val="clear" w:color="auto" w:fill="FFFFFF"/>
        <w:ind w:firstLine="562" w:firstLineChars="200"/>
        <w:rPr>
          <w:rFonts w:asciiTheme="minorEastAsia" w:hAnsiTheme="minorEastAsia"/>
          <w:b/>
          <w:sz w:val="28"/>
          <w:szCs w:val="28"/>
        </w:rPr>
      </w:pPr>
      <w:r>
        <w:rPr>
          <w:rFonts w:hint="eastAsia" w:asciiTheme="minorEastAsia" w:hAnsiTheme="minorEastAsia"/>
          <w:b/>
          <w:sz w:val="28"/>
          <w:szCs w:val="28"/>
        </w:rPr>
        <w:t>8.1.3学校教育教学改革工作还有待进一步推进</w:t>
      </w:r>
    </w:p>
    <w:p>
      <w:pPr>
        <w:ind w:firstLine="560" w:firstLineChars="200"/>
        <w:rPr>
          <w:rFonts w:hint="eastAsia"/>
          <w:color w:val="FF0000"/>
          <w:sz w:val="28"/>
          <w:szCs w:val="28"/>
        </w:rPr>
      </w:pPr>
      <w:r>
        <w:rPr>
          <w:rFonts w:hint="eastAsia"/>
          <w:sz w:val="28"/>
          <w:szCs w:val="28"/>
        </w:rPr>
        <w:t>受传统教育理念的束缚，我校教师的教学理念更新速度较慢，对现代化教学方法和信息化教学手段的学习不足，相关能力还需进一步提高和丰富，以适应现代职业教育新要求。</w:t>
      </w:r>
    </w:p>
    <w:p>
      <w:pPr>
        <w:pStyle w:val="2"/>
        <w:spacing w:before="0" w:after="0" w:line="240" w:lineRule="auto"/>
        <w:rPr>
          <w:rFonts w:asciiTheme="minorEastAsia" w:hAnsiTheme="minorEastAsia" w:eastAsiaTheme="minorEastAsia"/>
          <w:sz w:val="28"/>
          <w:szCs w:val="28"/>
        </w:rPr>
      </w:pPr>
      <w:bookmarkStart w:id="5" w:name="_Toc525136644"/>
      <w:r>
        <w:rPr>
          <w:rFonts w:hint="eastAsia" w:asciiTheme="minorEastAsia" w:hAnsiTheme="minorEastAsia" w:eastAsiaTheme="minorEastAsia"/>
          <w:sz w:val="28"/>
          <w:szCs w:val="28"/>
        </w:rPr>
        <w:t xml:space="preserve">    8.2改进措施</w:t>
      </w:r>
      <w:bookmarkEnd w:id="5"/>
    </w:p>
    <w:p>
      <w:pPr>
        <w:adjustRightInd w:val="0"/>
        <w:ind w:firstLine="562" w:firstLineChars="200"/>
        <w:rPr>
          <w:rFonts w:asciiTheme="minorEastAsia" w:hAnsiTheme="minorEastAsia"/>
          <w:b/>
          <w:sz w:val="28"/>
          <w:szCs w:val="28"/>
        </w:rPr>
      </w:pPr>
      <w:r>
        <w:rPr>
          <w:rFonts w:hint="eastAsia" w:asciiTheme="minorEastAsia" w:hAnsiTheme="minorEastAsia"/>
          <w:b/>
          <w:sz w:val="28"/>
          <w:szCs w:val="28"/>
        </w:rPr>
        <w:t>8.2.1加快信息化平台的建设及应用</w:t>
      </w:r>
    </w:p>
    <w:p>
      <w:pPr>
        <w:ind w:firstLine="560" w:firstLineChars="200"/>
        <w:rPr>
          <w:rFonts w:hint="eastAsia"/>
          <w:sz w:val="28"/>
          <w:szCs w:val="28"/>
        </w:rPr>
      </w:pPr>
      <w:r>
        <w:rPr>
          <w:rFonts w:hint="eastAsia"/>
          <w:sz w:val="28"/>
          <w:szCs w:val="28"/>
        </w:rPr>
        <w:t>学校已将信息化平台建设纳入2021年工作要点，已于2020年底与成都依能科技股份有限公司签订了智慧校园平台SaaS云服务购买合同，平台服务涉及基础数据、招生就业管理、</w:t>
      </w:r>
      <w:r>
        <w:rPr>
          <w:rFonts w:hint="eastAsia" w:ascii="宋体" w:hAnsi="宋体" w:cs="仿宋_GB2312"/>
          <w:sz w:val="28"/>
          <w:szCs w:val="28"/>
        </w:rPr>
        <w:t>教务管理、课程教学、、学生管理、人力资源管理、财务管理、教育教学质量管理、信息化办公平台等方面，</w:t>
      </w:r>
      <w:r>
        <w:rPr>
          <w:rFonts w:hint="eastAsia"/>
          <w:sz w:val="28"/>
          <w:szCs w:val="28"/>
        </w:rPr>
        <w:t>计划于2021年初寒假时间进行基础数据输入和人员培训，下学期将进入应用阶段。</w:t>
      </w:r>
    </w:p>
    <w:p>
      <w:pPr>
        <w:adjustRightInd w:val="0"/>
        <w:ind w:firstLine="562" w:firstLineChars="200"/>
        <w:rPr>
          <w:rFonts w:asciiTheme="minorEastAsia" w:hAnsiTheme="minorEastAsia"/>
          <w:b/>
          <w:sz w:val="28"/>
          <w:szCs w:val="28"/>
        </w:rPr>
      </w:pPr>
      <w:r>
        <w:rPr>
          <w:rFonts w:hint="eastAsia" w:asciiTheme="minorEastAsia" w:hAnsiTheme="minorEastAsia"/>
          <w:b/>
          <w:sz w:val="28"/>
          <w:szCs w:val="28"/>
        </w:rPr>
        <w:t>8.2.2争取经费</w:t>
      </w:r>
      <w:r>
        <w:rPr>
          <w:rFonts w:asciiTheme="minorEastAsia" w:hAnsiTheme="minorEastAsia"/>
          <w:b/>
          <w:sz w:val="28"/>
          <w:szCs w:val="28"/>
        </w:rPr>
        <w:t>投入</w:t>
      </w:r>
      <w:r>
        <w:rPr>
          <w:rFonts w:hint="eastAsia" w:asciiTheme="minorEastAsia" w:hAnsiTheme="minorEastAsia"/>
          <w:b/>
          <w:sz w:val="28"/>
          <w:szCs w:val="28"/>
        </w:rPr>
        <w:t>，改善办学条件、加强师资队伍建设</w:t>
      </w:r>
    </w:p>
    <w:p>
      <w:pPr>
        <w:adjustRightInd w:val="0"/>
        <w:ind w:firstLine="560" w:firstLineChars="200"/>
        <w:rPr>
          <w:rFonts w:asciiTheme="minorEastAsia" w:hAnsiTheme="minorEastAsia"/>
          <w:sz w:val="28"/>
          <w:szCs w:val="28"/>
        </w:rPr>
      </w:pPr>
      <w:r>
        <w:rPr>
          <w:rFonts w:hint="eastAsia" w:asciiTheme="minorEastAsia" w:hAnsiTheme="minorEastAsia"/>
          <w:sz w:val="28"/>
          <w:szCs w:val="28"/>
        </w:rPr>
        <w:t>争取政府及教育行政主管部门的政策、资金或项目支持，在专业建设和教学仪器、设备添置上，紧随技术进步和产业升级，加大对“智能制造”、“新能源”等教学仪器、设备的经费投入，进一步改善办学条件，加快学校信息化建设，以</w:t>
      </w:r>
      <w:r>
        <w:rPr>
          <w:rFonts w:asciiTheme="minorEastAsia" w:hAnsiTheme="minorEastAsia"/>
          <w:sz w:val="28"/>
          <w:szCs w:val="28"/>
        </w:rPr>
        <w:t>适应</w:t>
      </w:r>
      <w:r>
        <w:rPr>
          <w:rFonts w:hint="eastAsia" w:asciiTheme="minorEastAsia" w:hAnsiTheme="minorEastAsia"/>
          <w:sz w:val="28"/>
          <w:szCs w:val="28"/>
        </w:rPr>
        <w:t>和满足与办学规模和培养要求相适应的教育教学及实训条件，形成能充分保证教育教学质量稳步提高的经费投入机制。</w:t>
      </w:r>
    </w:p>
    <w:p>
      <w:pPr>
        <w:adjustRightInd w:val="0"/>
        <w:ind w:firstLine="560" w:firstLineChars="200"/>
        <w:rPr>
          <w:rFonts w:asciiTheme="minorEastAsia" w:hAnsiTheme="minorEastAsia"/>
          <w:sz w:val="28"/>
          <w:szCs w:val="28"/>
        </w:rPr>
      </w:pPr>
      <w:r>
        <w:rPr>
          <w:rFonts w:hint="eastAsia" w:asciiTheme="minorEastAsia" w:hAnsiTheme="minorEastAsia"/>
          <w:sz w:val="28"/>
          <w:szCs w:val="28"/>
        </w:rPr>
        <w:t>在师资队伍建设方面，一方面，学校将狠抓专业教师进企业实践的制度落实，促进专业课教师</w:t>
      </w:r>
      <w:r>
        <w:rPr>
          <w:rFonts w:asciiTheme="minorEastAsia" w:hAnsiTheme="minorEastAsia"/>
          <w:sz w:val="28"/>
          <w:szCs w:val="28"/>
        </w:rPr>
        <w:t>专业技术能力</w:t>
      </w:r>
      <w:r>
        <w:rPr>
          <w:rFonts w:hint="eastAsia" w:asciiTheme="minorEastAsia" w:hAnsiTheme="minorEastAsia"/>
          <w:sz w:val="28"/>
          <w:szCs w:val="28"/>
        </w:rPr>
        <w:t>提升、及时</w:t>
      </w:r>
      <w:r>
        <w:rPr>
          <w:rFonts w:asciiTheme="minorEastAsia" w:hAnsiTheme="minorEastAsia"/>
          <w:sz w:val="28"/>
          <w:szCs w:val="28"/>
        </w:rPr>
        <w:t>了解</w:t>
      </w:r>
      <w:r>
        <w:rPr>
          <w:rFonts w:hint="eastAsia" w:asciiTheme="minorEastAsia" w:hAnsiTheme="minorEastAsia"/>
          <w:sz w:val="28"/>
          <w:szCs w:val="28"/>
        </w:rPr>
        <w:t>行业</w:t>
      </w:r>
      <w:r>
        <w:rPr>
          <w:rFonts w:asciiTheme="minorEastAsia" w:hAnsiTheme="minorEastAsia"/>
          <w:sz w:val="28"/>
          <w:szCs w:val="28"/>
        </w:rPr>
        <w:t>企业</w:t>
      </w:r>
      <w:r>
        <w:rPr>
          <w:rFonts w:hint="eastAsia" w:asciiTheme="minorEastAsia" w:hAnsiTheme="minorEastAsia"/>
          <w:sz w:val="28"/>
          <w:szCs w:val="28"/>
        </w:rPr>
        <w:t>职业岗位能力需求、收集典型教学案例，丰富教学素材；另一方面，加强“专业（</w:t>
      </w:r>
      <w:r>
        <w:rPr>
          <w:rFonts w:asciiTheme="minorEastAsia" w:hAnsiTheme="minorEastAsia"/>
          <w:sz w:val="28"/>
          <w:szCs w:val="28"/>
        </w:rPr>
        <w:t>学科</w:t>
      </w:r>
      <w:r>
        <w:rPr>
          <w:rFonts w:hint="eastAsia" w:asciiTheme="minorEastAsia" w:hAnsiTheme="minorEastAsia"/>
          <w:sz w:val="28"/>
          <w:szCs w:val="28"/>
        </w:rPr>
        <w:t>）</w:t>
      </w:r>
      <w:r>
        <w:rPr>
          <w:rFonts w:asciiTheme="minorEastAsia" w:hAnsiTheme="minorEastAsia"/>
          <w:sz w:val="28"/>
          <w:szCs w:val="28"/>
        </w:rPr>
        <w:t>带头人、优秀中青年骨干教师</w:t>
      </w:r>
      <w:r>
        <w:rPr>
          <w:rFonts w:hint="eastAsia" w:asciiTheme="minorEastAsia" w:hAnsiTheme="minorEastAsia"/>
          <w:sz w:val="28"/>
          <w:szCs w:val="28"/>
        </w:rPr>
        <w:t>”</w:t>
      </w:r>
      <w:r>
        <w:rPr>
          <w:rFonts w:asciiTheme="minorEastAsia" w:hAnsiTheme="minorEastAsia"/>
          <w:sz w:val="28"/>
          <w:szCs w:val="28"/>
        </w:rPr>
        <w:t>的选拔、培养与管理</w:t>
      </w:r>
      <w:r>
        <w:rPr>
          <w:rFonts w:hint="eastAsia" w:asciiTheme="minorEastAsia" w:hAnsiTheme="minorEastAsia"/>
          <w:sz w:val="28"/>
          <w:szCs w:val="28"/>
        </w:rPr>
        <w:t>，使</w:t>
      </w:r>
      <w:r>
        <w:rPr>
          <w:rFonts w:asciiTheme="minorEastAsia" w:hAnsiTheme="minorEastAsia"/>
          <w:sz w:val="28"/>
          <w:szCs w:val="28"/>
        </w:rPr>
        <w:t>教学水平</w:t>
      </w:r>
      <w:r>
        <w:rPr>
          <w:rFonts w:hint="eastAsia" w:asciiTheme="minorEastAsia" w:hAnsiTheme="minorEastAsia"/>
          <w:sz w:val="28"/>
          <w:szCs w:val="28"/>
        </w:rPr>
        <w:t>较</w:t>
      </w:r>
      <w:r>
        <w:rPr>
          <w:rFonts w:asciiTheme="minorEastAsia" w:hAnsiTheme="minorEastAsia"/>
          <w:sz w:val="28"/>
          <w:szCs w:val="28"/>
        </w:rPr>
        <w:t>高</w:t>
      </w:r>
      <w:r>
        <w:rPr>
          <w:rFonts w:hint="eastAsia" w:asciiTheme="minorEastAsia" w:hAnsiTheme="minorEastAsia"/>
          <w:sz w:val="28"/>
          <w:szCs w:val="28"/>
        </w:rPr>
        <w:t>、</w:t>
      </w:r>
      <w:r>
        <w:rPr>
          <w:rFonts w:asciiTheme="minorEastAsia" w:hAnsiTheme="minorEastAsia"/>
          <w:sz w:val="28"/>
          <w:szCs w:val="28"/>
        </w:rPr>
        <w:t>在专业领域已</w:t>
      </w:r>
      <w:r>
        <w:rPr>
          <w:rFonts w:hint="eastAsia" w:asciiTheme="minorEastAsia" w:hAnsiTheme="minorEastAsia"/>
          <w:sz w:val="28"/>
          <w:szCs w:val="28"/>
        </w:rPr>
        <w:t>取得</w:t>
      </w:r>
      <w:r>
        <w:rPr>
          <w:rFonts w:asciiTheme="minorEastAsia" w:hAnsiTheme="minorEastAsia"/>
          <w:sz w:val="28"/>
          <w:szCs w:val="28"/>
        </w:rPr>
        <w:t>一定成绩的教师</w:t>
      </w:r>
      <w:r>
        <w:rPr>
          <w:rFonts w:hint="eastAsia" w:asciiTheme="minorEastAsia" w:hAnsiTheme="minorEastAsia"/>
          <w:sz w:val="28"/>
          <w:szCs w:val="28"/>
        </w:rPr>
        <w:t>成为专业建设或学科发展的“领头羊”</w:t>
      </w:r>
      <w:r>
        <w:rPr>
          <w:rFonts w:asciiTheme="minorEastAsia" w:hAnsiTheme="minorEastAsia"/>
          <w:sz w:val="28"/>
          <w:szCs w:val="28"/>
        </w:rPr>
        <w:t>。</w:t>
      </w:r>
    </w:p>
    <w:p>
      <w:pPr>
        <w:ind w:firstLine="562" w:firstLineChars="200"/>
        <w:rPr>
          <w:rFonts w:asciiTheme="minorEastAsia" w:hAnsiTheme="minorEastAsia"/>
          <w:b/>
          <w:sz w:val="28"/>
          <w:szCs w:val="28"/>
        </w:rPr>
      </w:pPr>
      <w:r>
        <w:rPr>
          <w:rFonts w:hint="eastAsia" w:asciiTheme="minorEastAsia" w:hAnsiTheme="minorEastAsia"/>
          <w:b/>
          <w:sz w:val="28"/>
          <w:szCs w:val="28"/>
        </w:rPr>
        <w:t>8.2.3深化教学改革，提升教学质量</w:t>
      </w:r>
    </w:p>
    <w:p>
      <w:pPr>
        <w:pStyle w:val="9"/>
        <w:spacing w:beforeAutospacing="0" w:afterAutospacing="0"/>
        <w:ind w:firstLine="560" w:firstLineChars="200"/>
        <w:jc w:val="both"/>
        <w:rPr>
          <w:rFonts w:asciiTheme="minorEastAsia" w:hAnsiTheme="minorEastAsia" w:eastAsiaTheme="minorEastAsia"/>
          <w:sz w:val="28"/>
          <w:szCs w:val="28"/>
        </w:rPr>
      </w:pPr>
      <w:r>
        <w:rPr>
          <w:rFonts w:hint="eastAsia" w:cs="宋体" w:asciiTheme="minorEastAsia" w:hAnsiTheme="minorEastAsia" w:eastAsiaTheme="minorEastAsia"/>
          <w:sz w:val="28"/>
          <w:szCs w:val="28"/>
        </w:rPr>
        <w:t>狠</w:t>
      </w:r>
      <w:r>
        <w:rPr>
          <w:rFonts w:cs="宋体" w:asciiTheme="minorEastAsia" w:hAnsiTheme="minorEastAsia" w:eastAsiaTheme="minorEastAsia"/>
          <w:sz w:val="28"/>
          <w:szCs w:val="28"/>
        </w:rPr>
        <w:t>抓内涵建设，着力提升</w:t>
      </w:r>
      <w:r>
        <w:rPr>
          <w:rFonts w:hint="eastAsia" w:cs="宋体" w:asciiTheme="minorEastAsia" w:hAnsiTheme="minorEastAsia" w:eastAsiaTheme="minorEastAsia"/>
          <w:sz w:val="28"/>
          <w:szCs w:val="28"/>
        </w:rPr>
        <w:t>学校</w:t>
      </w:r>
      <w:r>
        <w:rPr>
          <w:rFonts w:cs="宋体" w:asciiTheme="minorEastAsia" w:hAnsiTheme="minorEastAsia" w:eastAsiaTheme="minorEastAsia"/>
          <w:sz w:val="28"/>
          <w:szCs w:val="28"/>
        </w:rPr>
        <w:t>职业教育基础能力</w:t>
      </w:r>
      <w:r>
        <w:rPr>
          <w:rFonts w:hint="eastAsia" w:cs="宋体" w:asciiTheme="minorEastAsia" w:hAnsiTheme="minorEastAsia" w:eastAsiaTheme="minorEastAsia"/>
          <w:sz w:val="28"/>
          <w:szCs w:val="28"/>
        </w:rPr>
        <w:t>；</w:t>
      </w:r>
      <w:r>
        <w:rPr>
          <w:rFonts w:hint="eastAsia"/>
          <w:sz w:val="28"/>
          <w:szCs w:val="28"/>
        </w:rPr>
        <w:t>通过组织教师培训，更新教学理念；通过推进“一体化”教学改革，提高教师运用“工学结合、产教融合”等教学方法的能力；通过信息化平台建设，丰富教师信息化、人工智能、大数据等教学手段，提高教学效果。</w:t>
      </w:r>
      <w:r>
        <w:rPr>
          <w:rFonts w:cs="宋体" w:asciiTheme="minorEastAsia" w:hAnsiTheme="minorEastAsia" w:eastAsiaTheme="minorEastAsia"/>
          <w:sz w:val="28"/>
          <w:szCs w:val="28"/>
        </w:rPr>
        <w:t>探索</w:t>
      </w:r>
      <w:r>
        <w:rPr>
          <w:rFonts w:hint="eastAsia" w:cs="宋体" w:asciiTheme="minorEastAsia" w:hAnsiTheme="minorEastAsia" w:eastAsiaTheme="minorEastAsia"/>
          <w:sz w:val="28"/>
          <w:szCs w:val="28"/>
        </w:rPr>
        <w:t>适应</w:t>
      </w:r>
      <w:r>
        <w:rPr>
          <w:rFonts w:cs="宋体" w:asciiTheme="minorEastAsia" w:hAnsiTheme="minorEastAsia" w:eastAsiaTheme="minorEastAsia"/>
          <w:sz w:val="28"/>
          <w:szCs w:val="28"/>
        </w:rPr>
        <w:t>职业特点的人才培养模式</w:t>
      </w:r>
      <w:r>
        <w:rPr>
          <w:rFonts w:hint="eastAsia" w:cs="宋体" w:asciiTheme="minorEastAsia" w:hAnsiTheme="minorEastAsia" w:eastAsiaTheme="minorEastAsia"/>
          <w:sz w:val="28"/>
          <w:szCs w:val="28"/>
        </w:rPr>
        <w:t>和教学模式</w:t>
      </w:r>
      <w:r>
        <w:rPr>
          <w:rFonts w:cs="宋体" w:asciiTheme="minorEastAsia" w:hAnsiTheme="minorEastAsia" w:eastAsiaTheme="minorEastAsia"/>
          <w:sz w:val="28"/>
          <w:szCs w:val="28"/>
        </w:rPr>
        <w:t>改革</w:t>
      </w:r>
      <w:r>
        <w:rPr>
          <w:rFonts w:hint="eastAsia" w:cs="宋体" w:asciiTheme="minorEastAsia" w:hAnsiTheme="minorEastAsia" w:eastAsiaTheme="minorEastAsia"/>
          <w:sz w:val="28"/>
          <w:szCs w:val="28"/>
        </w:rPr>
        <w:t>；不断提升毕业生的就业质量，让</w:t>
      </w:r>
      <w:r>
        <w:rPr>
          <w:rFonts w:hint="eastAsia" w:asciiTheme="minorEastAsia" w:hAnsiTheme="minorEastAsia" w:eastAsiaTheme="minorEastAsia"/>
          <w:sz w:val="28"/>
          <w:szCs w:val="28"/>
        </w:rPr>
        <w:t>学生切实感受到成就感和幸福感。</w:t>
      </w:r>
    </w:p>
    <w:p>
      <w:pPr>
        <w:rPr>
          <w:rFonts w:asciiTheme="minorEastAsia" w:hAnsiTheme="minorEastAsia"/>
          <w:sz w:val="32"/>
          <w:szCs w:val="32"/>
        </w:rPr>
      </w:pPr>
      <w:r>
        <w:rPr>
          <w:rFonts w:asciiTheme="minorEastAsia" w:hAnsiTheme="minorEastAsia"/>
          <w:sz w:val="32"/>
          <w:szCs w:val="32"/>
        </w:rPr>
        <w:br w:type="page"/>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eastAsia" w:cs="方正小标宋简体" w:asciiTheme="minorEastAsia" w:hAnsiTheme="minorEastAsia" w:eastAsiaTheme="minorEastAsia"/>
          <w:b/>
          <w:sz w:val="36"/>
          <w:szCs w:val="36"/>
          <w:lang w:eastAsia="zh-CN"/>
        </w:rPr>
      </w:pPr>
      <w:r>
        <w:rPr>
          <w:rFonts w:hint="eastAsia" w:cs="方正小标宋简体" w:asciiTheme="minorEastAsia" w:hAnsiTheme="minorEastAsia"/>
          <w:b/>
          <w:sz w:val="36"/>
          <w:szCs w:val="36"/>
          <w:lang w:eastAsia="zh-CN"/>
        </w:rPr>
        <w:t>中等职业教育年度质量报告有关数据情况统计表</w:t>
      </w:r>
    </w:p>
    <w:tbl>
      <w:tblPr>
        <w:tblStyle w:val="11"/>
        <w:tblW w:w="9312" w:type="dxa"/>
        <w:jc w:val="center"/>
        <w:tblLayout w:type="fixed"/>
        <w:tblCellMar>
          <w:top w:w="0" w:type="dxa"/>
          <w:left w:w="108" w:type="dxa"/>
          <w:bottom w:w="0" w:type="dxa"/>
          <w:right w:w="108" w:type="dxa"/>
        </w:tblCellMar>
      </w:tblPr>
      <w:tblGrid>
        <w:gridCol w:w="959"/>
        <w:gridCol w:w="726"/>
        <w:gridCol w:w="461"/>
        <w:gridCol w:w="3288"/>
        <w:gridCol w:w="1287"/>
        <w:gridCol w:w="1319"/>
        <w:gridCol w:w="1272"/>
      </w:tblGrid>
      <w:tr>
        <w:tblPrEx>
          <w:tblCellMar>
            <w:top w:w="0" w:type="dxa"/>
            <w:left w:w="108" w:type="dxa"/>
            <w:bottom w:w="0" w:type="dxa"/>
            <w:right w:w="108" w:type="dxa"/>
          </w:tblCellMar>
        </w:tblPrEx>
        <w:trPr>
          <w:trHeight w:val="293" w:hRule="atLeast"/>
          <w:jc w:val="center"/>
        </w:trPr>
        <w:tc>
          <w:tcPr>
            <w:tcW w:w="9311" w:type="dxa"/>
            <w:gridSpan w:val="7"/>
            <w:tcBorders>
              <w:top w:val="nil"/>
              <w:left w:val="nil"/>
              <w:bottom w:val="single" w:color="auto" w:sz="4" w:space="0"/>
              <w:right w:val="nil"/>
            </w:tcBorders>
            <w:vAlign w:val="center"/>
          </w:tcPr>
          <w:p>
            <w:pPr>
              <w:widowControl/>
              <w:spacing w:line="500" w:lineRule="exact"/>
              <w:jc w:val="left"/>
              <w:rPr>
                <w:rFonts w:ascii="黑体" w:hAnsi="宋体" w:eastAsia="黑体" w:cs="宋体"/>
                <w:color w:val="000000"/>
                <w:kern w:val="0"/>
                <w:sz w:val="22"/>
              </w:rPr>
            </w:pPr>
            <w:r>
              <w:rPr>
                <w:rFonts w:hint="eastAsia" w:ascii="黑体" w:hAnsi="宋体" w:eastAsia="黑体" w:cs="宋体"/>
                <w:color w:val="000000"/>
                <w:kern w:val="0"/>
                <w:sz w:val="22"/>
                <w:lang w:eastAsia="zh-CN"/>
              </w:rPr>
              <w:t>县区教育局</w:t>
            </w:r>
            <w:r>
              <w:rPr>
                <w:rFonts w:hint="eastAsia" w:ascii="黑体" w:hAnsi="宋体" w:eastAsia="黑体" w:cs="宋体"/>
                <w:color w:val="000000"/>
                <w:kern w:val="0"/>
                <w:sz w:val="22"/>
                <w:lang w:val="en-US" w:eastAsia="zh-CN"/>
              </w:rPr>
              <w:t>/市属中职学校（盖章）</w:t>
            </w:r>
            <w:r>
              <w:rPr>
                <w:rFonts w:hint="eastAsia" w:ascii="黑体" w:hAnsi="宋体" w:eastAsia="黑体" w:cs="宋体"/>
                <w:color w:val="000000"/>
                <w:kern w:val="0"/>
                <w:sz w:val="22"/>
                <w:u w:val="single"/>
              </w:rPr>
              <w:t xml:space="preserve">             </w:t>
            </w:r>
            <w:r>
              <w:rPr>
                <w:rFonts w:hint="eastAsia" w:ascii="黑体" w:hAnsi="宋体" w:eastAsia="黑体" w:cs="宋体"/>
                <w:color w:val="000000"/>
                <w:kern w:val="0"/>
                <w:sz w:val="22"/>
              </w:rPr>
              <w:t xml:space="preserve">                     </w:t>
            </w:r>
          </w:p>
        </w:tc>
      </w:tr>
      <w:tr>
        <w:tblPrEx>
          <w:tblCellMar>
            <w:top w:w="0" w:type="dxa"/>
            <w:left w:w="108" w:type="dxa"/>
            <w:bottom w:w="0" w:type="dxa"/>
            <w:right w:w="108" w:type="dxa"/>
          </w:tblCellMar>
        </w:tblPrEx>
        <w:trPr>
          <w:trHeight w:val="409" w:hRule="atLeast"/>
          <w:jc w:val="center"/>
        </w:trPr>
        <w:tc>
          <w:tcPr>
            <w:tcW w:w="9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县市区</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学校名称</w:t>
            </w:r>
          </w:p>
        </w:tc>
        <w:tc>
          <w:tcPr>
            <w:tcW w:w="374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指标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2018-2019学年</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2019-2020学年</w:t>
            </w:r>
          </w:p>
        </w:tc>
      </w:tr>
      <w:tr>
        <w:tblPrEx>
          <w:tblCellMar>
            <w:top w:w="0" w:type="dxa"/>
            <w:left w:w="108" w:type="dxa"/>
            <w:bottom w:w="0" w:type="dxa"/>
            <w:right w:w="108" w:type="dxa"/>
          </w:tblCellMar>
        </w:tblPrEx>
        <w:trPr>
          <w:trHeight w:val="221" w:hRule="atLeast"/>
          <w:jc w:val="center"/>
        </w:trPr>
        <w:tc>
          <w:tcPr>
            <w:tcW w:w="95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lang w:eastAsia="zh-CN"/>
              </w:rPr>
              <w:t>渭南市</w:t>
            </w:r>
            <w:r>
              <w:rPr>
                <w:rFonts w:hint="eastAsia" w:ascii="宋体" w:hAnsi="宋体" w:cs="宋体"/>
                <w:color w:val="000000"/>
                <w:kern w:val="0"/>
                <w:sz w:val="24"/>
              </w:rPr>
              <w:t>　</w:t>
            </w:r>
          </w:p>
        </w:tc>
        <w:tc>
          <w:tcPr>
            <w:tcW w:w="72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cs="宋体"/>
                <w:bCs/>
                <w:kern w:val="0"/>
                <w:sz w:val="24"/>
              </w:rPr>
            </w:pPr>
            <w:r>
              <w:rPr>
                <w:rFonts w:hint="eastAsia" w:cs="宋体"/>
                <w:bCs/>
                <w:kern w:val="0"/>
                <w:sz w:val="24"/>
              </w:rPr>
              <w:t>陕</w:t>
            </w:r>
          </w:p>
          <w:p>
            <w:pPr>
              <w:widowControl/>
              <w:jc w:val="center"/>
              <w:rPr>
                <w:rFonts w:hint="eastAsia" w:cs="宋体"/>
                <w:bCs/>
                <w:kern w:val="0"/>
                <w:sz w:val="24"/>
              </w:rPr>
            </w:pPr>
            <w:r>
              <w:rPr>
                <w:rFonts w:hint="eastAsia" w:cs="宋体"/>
                <w:bCs/>
                <w:kern w:val="0"/>
                <w:sz w:val="24"/>
              </w:rPr>
              <w:t>西</w:t>
            </w:r>
          </w:p>
          <w:p>
            <w:pPr>
              <w:widowControl/>
              <w:jc w:val="center"/>
              <w:rPr>
                <w:rFonts w:hint="eastAsia" w:cs="宋体"/>
                <w:bCs/>
                <w:kern w:val="0"/>
                <w:sz w:val="24"/>
              </w:rPr>
            </w:pPr>
            <w:r>
              <w:rPr>
                <w:rFonts w:hint="eastAsia" w:cs="宋体"/>
                <w:bCs/>
                <w:kern w:val="0"/>
                <w:sz w:val="24"/>
              </w:rPr>
              <w:t>省</w:t>
            </w:r>
          </w:p>
          <w:p>
            <w:pPr>
              <w:widowControl/>
              <w:jc w:val="center"/>
              <w:rPr>
                <w:rFonts w:hint="eastAsia" w:cs="宋体"/>
                <w:bCs/>
                <w:kern w:val="0"/>
                <w:sz w:val="24"/>
              </w:rPr>
            </w:pPr>
            <w:r>
              <w:rPr>
                <w:rFonts w:hint="eastAsia" w:cs="宋体"/>
                <w:bCs/>
                <w:kern w:val="0"/>
                <w:sz w:val="24"/>
              </w:rPr>
              <w:t>渭</w:t>
            </w:r>
          </w:p>
          <w:p>
            <w:pPr>
              <w:widowControl/>
              <w:jc w:val="center"/>
              <w:rPr>
                <w:rFonts w:hint="eastAsia" w:cs="宋体"/>
                <w:bCs/>
                <w:kern w:val="0"/>
                <w:sz w:val="24"/>
              </w:rPr>
            </w:pPr>
            <w:r>
              <w:rPr>
                <w:rFonts w:hint="eastAsia" w:cs="宋体"/>
                <w:bCs/>
                <w:kern w:val="0"/>
                <w:sz w:val="24"/>
              </w:rPr>
              <w:t>南</w:t>
            </w:r>
          </w:p>
          <w:p>
            <w:pPr>
              <w:widowControl/>
              <w:jc w:val="center"/>
              <w:rPr>
                <w:rFonts w:hint="eastAsia" w:cs="宋体"/>
                <w:bCs/>
                <w:kern w:val="0"/>
                <w:sz w:val="24"/>
              </w:rPr>
            </w:pPr>
            <w:r>
              <w:rPr>
                <w:rFonts w:hint="eastAsia" w:cs="宋体"/>
                <w:bCs/>
                <w:kern w:val="0"/>
                <w:sz w:val="24"/>
              </w:rPr>
              <w:t>工</w:t>
            </w:r>
          </w:p>
          <w:p>
            <w:pPr>
              <w:widowControl/>
              <w:jc w:val="center"/>
              <w:rPr>
                <w:rFonts w:hint="eastAsia" w:cs="宋体"/>
                <w:bCs/>
                <w:kern w:val="0"/>
                <w:sz w:val="24"/>
              </w:rPr>
            </w:pPr>
            <w:r>
              <w:rPr>
                <w:rFonts w:hint="eastAsia" w:cs="宋体"/>
                <w:bCs/>
                <w:kern w:val="0"/>
                <w:sz w:val="24"/>
              </w:rPr>
              <w:t>业</w:t>
            </w:r>
          </w:p>
          <w:p>
            <w:pPr>
              <w:widowControl/>
              <w:jc w:val="center"/>
              <w:rPr>
                <w:rFonts w:hint="eastAsia" w:cs="宋体"/>
                <w:bCs/>
                <w:kern w:val="0"/>
                <w:sz w:val="24"/>
              </w:rPr>
            </w:pPr>
            <w:r>
              <w:rPr>
                <w:rFonts w:hint="eastAsia" w:cs="宋体"/>
                <w:bCs/>
                <w:kern w:val="0"/>
                <w:sz w:val="24"/>
              </w:rPr>
              <w:t>学</w:t>
            </w:r>
          </w:p>
          <w:p>
            <w:pPr>
              <w:widowControl/>
              <w:jc w:val="center"/>
              <w:rPr>
                <w:rFonts w:ascii="宋体" w:hAnsi="宋体" w:cs="宋体"/>
                <w:color w:val="000000"/>
                <w:kern w:val="0"/>
                <w:szCs w:val="21"/>
              </w:rPr>
            </w:pPr>
            <w:r>
              <w:rPr>
                <w:rFonts w:hint="eastAsia" w:cs="宋体"/>
                <w:bCs/>
                <w:kern w:val="0"/>
                <w:sz w:val="24"/>
              </w:rPr>
              <w:t>校</w:t>
            </w:r>
            <w:r>
              <w:rPr>
                <w:rFonts w:hint="eastAsia" w:ascii="宋体" w:hAnsi="宋体" w:cs="宋体"/>
                <w:color w:val="000000"/>
                <w:kern w:val="0"/>
                <w:szCs w:val="21"/>
              </w:rPr>
              <w:t>　</w:t>
            </w: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在校生数总数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3001</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3917</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招生数（含春季招生数）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1639</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1865</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普通高中招生数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职普招生比例</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学校教职工总数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409</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417</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兼职教师数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专任教师数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232</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248</w:t>
            </w:r>
          </w:p>
        </w:tc>
      </w:tr>
      <w:tr>
        <w:tblPrEx>
          <w:tblCellMar>
            <w:top w:w="0" w:type="dxa"/>
            <w:left w:w="108" w:type="dxa"/>
            <w:bottom w:w="0" w:type="dxa"/>
            <w:right w:w="108" w:type="dxa"/>
          </w:tblCellMar>
        </w:tblPrEx>
        <w:trPr>
          <w:trHeight w:val="189"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专业课教师总数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108</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112</w:t>
            </w:r>
          </w:p>
        </w:tc>
      </w:tr>
      <w:tr>
        <w:tblPrEx>
          <w:tblCellMar>
            <w:top w:w="0" w:type="dxa"/>
            <w:left w:w="108" w:type="dxa"/>
            <w:bottom w:w="0" w:type="dxa"/>
            <w:right w:w="108" w:type="dxa"/>
          </w:tblCellMar>
        </w:tblPrEx>
        <w:trPr>
          <w:trHeight w:val="189"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“双师型”教师数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88</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108</w:t>
            </w:r>
          </w:p>
        </w:tc>
      </w:tr>
      <w:tr>
        <w:tblPrEx>
          <w:tblCellMar>
            <w:top w:w="0" w:type="dxa"/>
            <w:left w:w="108" w:type="dxa"/>
            <w:bottom w:w="0" w:type="dxa"/>
            <w:right w:w="108" w:type="dxa"/>
          </w:tblCellMar>
        </w:tblPrEx>
        <w:trPr>
          <w:trHeight w:val="189"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专任教师本科以上学历人数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223</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234</w:t>
            </w:r>
          </w:p>
        </w:tc>
      </w:tr>
      <w:tr>
        <w:tblPrEx>
          <w:tblCellMar>
            <w:top w:w="0" w:type="dxa"/>
            <w:left w:w="108" w:type="dxa"/>
            <w:bottom w:w="0" w:type="dxa"/>
            <w:right w:w="108" w:type="dxa"/>
          </w:tblCellMar>
        </w:tblPrEx>
        <w:trPr>
          <w:trHeight w:val="189"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专任教师高级职称人数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生师比</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13:1</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15.8:1</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教学科研仪器设备值</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4100万</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4482.44万</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生均教学科研仪器设备值</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元/生</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1.67万</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1.14万</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实训实习工位数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3125</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1816</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生均实训实习工位数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台/生</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1.04</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0.46</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288" w:type="dxa"/>
            <w:tcBorders>
              <w:top w:val="nil"/>
              <w:left w:val="nil"/>
              <w:bottom w:val="nil"/>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纸质图书</w:t>
            </w:r>
          </w:p>
        </w:tc>
        <w:tc>
          <w:tcPr>
            <w:tcW w:w="1287" w:type="dxa"/>
            <w:tcBorders>
              <w:top w:val="nil"/>
              <w:left w:val="single" w:color="auto" w:sz="4" w:space="0"/>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册</w:t>
            </w:r>
          </w:p>
        </w:tc>
        <w:tc>
          <w:tcPr>
            <w:tcW w:w="13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84230</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99600</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328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生均纸质图书</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册/生</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28.1</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25.4</w:t>
            </w:r>
          </w:p>
        </w:tc>
      </w:tr>
      <w:tr>
        <w:tblPrEx>
          <w:tblCellMar>
            <w:top w:w="0" w:type="dxa"/>
            <w:left w:w="108" w:type="dxa"/>
            <w:bottom w:w="0" w:type="dxa"/>
            <w:right w:w="108" w:type="dxa"/>
          </w:tblCellMar>
        </w:tblPrEx>
        <w:trPr>
          <w:trHeight w:val="200"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生均校内实践基地使用时间</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学时/生</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445</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425</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生均校外实训时间</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学时/生</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1080</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540</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学生文化课合格率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83.2%</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83.7%</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学生技能合格率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90.2%</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90.5%</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体质测评合格率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92.8%</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毕业率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83.5%</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84.4%</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学生就业率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98%以上</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98%</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学生对口就业率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98%以上</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98%</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初次就业月收入</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（元/月）</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3500-4500</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3500-4500</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创业率</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学生参加省级技能大赛获奖人数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教师参加市级教学能力/信息化大赛获奖人数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教师参加省级教学能力/信息化大赛获奖人数</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政策性经费落实情况</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（万元/年）</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561.95</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742.34</w:t>
            </w:r>
          </w:p>
        </w:tc>
      </w:tr>
      <w:tr>
        <w:tblPrEx>
          <w:tblCellMar>
            <w:top w:w="0" w:type="dxa"/>
            <w:left w:w="108" w:type="dxa"/>
            <w:bottom w:w="0" w:type="dxa"/>
            <w:right w:w="108" w:type="dxa"/>
          </w:tblCellMar>
        </w:tblPrEx>
        <w:trPr>
          <w:trHeight w:val="22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32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项目投入情况</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（万元/年）</w:t>
            </w:r>
          </w:p>
        </w:tc>
        <w:tc>
          <w:tcPr>
            <w:tcW w:w="13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12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108" w:type="dxa"/>
            <w:bottom w:w="0" w:type="dxa"/>
            <w:right w:w="108" w:type="dxa"/>
          </w:tblCellMar>
        </w:tblPrEx>
        <w:trPr>
          <w:trHeight w:val="200" w:hRule="atLeast"/>
          <w:jc w:val="center"/>
        </w:trPr>
        <w:tc>
          <w:tcPr>
            <w:tcW w:w="959" w:type="dxa"/>
            <w:tcBorders>
              <w:top w:val="nil"/>
              <w:left w:val="nil"/>
              <w:bottom w:val="nil"/>
              <w:right w:val="nil"/>
            </w:tcBorders>
            <w:vAlign w:val="center"/>
          </w:tcPr>
          <w:p>
            <w:pPr>
              <w:widowControl/>
              <w:jc w:val="left"/>
              <w:rPr>
                <w:rFonts w:ascii="宋体" w:hAnsi="宋体" w:cs="宋体"/>
                <w:color w:val="000000"/>
                <w:kern w:val="0"/>
                <w:sz w:val="20"/>
                <w:szCs w:val="20"/>
              </w:rPr>
            </w:pPr>
          </w:p>
        </w:tc>
        <w:tc>
          <w:tcPr>
            <w:tcW w:w="4475" w:type="dxa"/>
            <w:gridSpan w:val="3"/>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填表人：王敏         </w:t>
            </w:r>
          </w:p>
        </w:tc>
        <w:tc>
          <w:tcPr>
            <w:tcW w:w="3877" w:type="dxa"/>
            <w:gridSpan w:val="3"/>
            <w:tcBorders>
              <w:top w:val="nil"/>
              <w:left w:val="nil"/>
              <w:bottom w:val="nil"/>
              <w:right w:val="nil"/>
            </w:tcBorders>
            <w:vAlign w:val="center"/>
          </w:tcPr>
          <w:p>
            <w:pPr>
              <w:widowControl/>
              <w:jc w:val="left"/>
              <w:rPr>
                <w:rFonts w:ascii="宋体" w:hAnsi="宋体" w:cs="宋体"/>
                <w:color w:val="000000"/>
                <w:kern w:val="0"/>
                <w:sz w:val="20"/>
                <w:szCs w:val="20"/>
                <w:u w:val="single"/>
              </w:rPr>
            </w:pPr>
            <w:r>
              <w:rPr>
                <w:rFonts w:hint="eastAsia" w:ascii="宋体" w:hAnsi="宋体" w:cs="宋体"/>
                <w:color w:val="000000"/>
                <w:kern w:val="0"/>
                <w:sz w:val="20"/>
                <w:szCs w:val="20"/>
              </w:rPr>
              <w:t>联系电话：18329349330</w:t>
            </w:r>
          </w:p>
        </w:tc>
      </w:tr>
    </w:tbl>
    <w:p>
      <w:pPr>
        <w:keepNext w:val="0"/>
        <w:keepLines w:val="0"/>
        <w:pageBreakBefore w:val="0"/>
        <w:widowControl/>
        <w:kinsoku/>
        <w:wordWrap/>
        <w:overflowPunct/>
        <w:topLinePunct w:val="0"/>
        <w:autoSpaceDE/>
        <w:autoSpaceDN/>
        <w:bidi w:val="0"/>
        <w:adjustRightInd/>
        <w:snapToGrid/>
        <w:spacing w:line="20" w:lineRule="exact"/>
        <w:jc w:val="left"/>
        <w:textAlignment w:val="auto"/>
        <w:rPr>
          <w:rFonts w:cs="Times New Roman" w:asciiTheme="minorEastAsia" w:hAnsiTheme="minorEastAsia"/>
          <w:kern w:val="0"/>
          <w:sz w:val="32"/>
          <w:szCs w:val="32"/>
        </w:rPr>
      </w:pPr>
    </w:p>
    <w:p>
      <w:pPr>
        <w:widowControl/>
        <w:jc w:val="left"/>
        <w:rPr>
          <w:rFonts w:asciiTheme="minorEastAsia" w:hAnsiTheme="minorEastAsia"/>
          <w:sz w:val="32"/>
          <w:szCs w:val="32"/>
        </w:rPr>
        <w:sectPr>
          <w:footerReference r:id="rId3" w:type="default"/>
          <w:pgSz w:w="11906" w:h="16838"/>
          <w:pgMar w:top="1440" w:right="1800" w:bottom="1440" w:left="1800" w:header="851" w:footer="992" w:gutter="0"/>
          <w:pgNumType w:fmt="numberInDash" w:start="1"/>
          <w:cols w:space="0" w:num="1"/>
          <w:rtlGutter w:val="0"/>
          <w:docGrid w:type="lines" w:linePitch="312" w:charSpace="0"/>
        </w:sectPr>
      </w:pPr>
    </w:p>
    <w:p>
      <w:pPr>
        <w:spacing w:line="500" w:lineRule="exact"/>
        <w:jc w:val="center"/>
        <w:rPr>
          <w:rFonts w:hint="eastAsia" w:cs="方正小标宋简体" w:asciiTheme="minorEastAsia" w:hAnsiTheme="minorEastAsia" w:eastAsiaTheme="minorEastAsia"/>
          <w:b/>
          <w:sz w:val="10"/>
          <w:szCs w:val="10"/>
          <w:lang w:eastAsia="zh-CN"/>
        </w:rPr>
      </w:pPr>
    </w:p>
    <w:p>
      <w:pPr>
        <w:spacing w:line="500" w:lineRule="exact"/>
        <w:jc w:val="center"/>
        <w:rPr>
          <w:rFonts w:cs="方正小标宋简体" w:asciiTheme="minorEastAsia" w:hAnsiTheme="minorEastAsia"/>
          <w:b/>
          <w:sz w:val="36"/>
          <w:szCs w:val="36"/>
        </w:rPr>
      </w:pPr>
    </w:p>
    <w:p>
      <w:pPr>
        <w:spacing w:line="500" w:lineRule="exact"/>
        <w:jc w:val="center"/>
        <w:rPr>
          <w:rFonts w:cs="方正小标宋简体" w:asciiTheme="minorEastAsia" w:hAnsiTheme="minorEastAsia"/>
          <w:b/>
          <w:sz w:val="36"/>
          <w:szCs w:val="36"/>
        </w:rPr>
      </w:pPr>
      <w:r>
        <w:rPr>
          <w:rFonts w:hint="eastAsia" w:cs="方正小标宋简体" w:asciiTheme="minorEastAsia" w:hAnsiTheme="minorEastAsia"/>
          <w:b/>
          <w:sz w:val="36"/>
          <w:szCs w:val="36"/>
        </w:rPr>
        <w:t>2020年度中等职业学校编制发布年度质量报告情况汇总表</w:t>
      </w:r>
    </w:p>
    <w:p>
      <w:pPr>
        <w:rPr>
          <w:rFonts w:hint="default" w:eastAsiaTheme="minorEastAsia"/>
          <w:szCs w:val="21"/>
          <w:lang w:val="en-US" w:eastAsia="zh-CN"/>
        </w:rPr>
      </w:pPr>
      <w:r>
        <w:rPr>
          <w:rFonts w:hint="eastAsia"/>
          <w:szCs w:val="21"/>
          <w:lang w:val="en-US" w:eastAsia="zh-CN"/>
        </w:rPr>
        <w:t xml:space="preserve">  </w:t>
      </w:r>
    </w:p>
    <w:p>
      <w:pPr>
        <w:jc w:val="center"/>
        <w:rPr>
          <w:rFonts w:hint="eastAsia" w:cs="宋体"/>
          <w:bCs/>
          <w:kern w:val="0"/>
          <w:sz w:val="23"/>
          <w:szCs w:val="23"/>
        </w:rPr>
      </w:pPr>
      <w:r>
        <w:rPr>
          <w:rFonts w:hint="eastAsia" w:cs="宋体"/>
          <w:bCs/>
          <w:kern w:val="0"/>
          <w:sz w:val="23"/>
          <w:szCs w:val="23"/>
        </w:rPr>
        <w:t>填表单位（加盖公章）：</w:t>
      </w:r>
      <w:r>
        <w:rPr>
          <w:rFonts w:cs="宋体"/>
          <w:bCs/>
          <w:kern w:val="0"/>
          <w:sz w:val="23"/>
          <w:szCs w:val="23"/>
        </w:rPr>
        <w:t xml:space="preserve">  </w:t>
      </w:r>
      <w:r>
        <w:rPr>
          <w:rFonts w:hint="eastAsia" w:cs="宋体"/>
          <w:bCs/>
          <w:kern w:val="0"/>
          <w:sz w:val="23"/>
          <w:szCs w:val="23"/>
        </w:rPr>
        <w:t>陕西省渭南工业学校</w:t>
      </w:r>
      <w:r>
        <w:rPr>
          <w:rFonts w:cs="宋体"/>
          <w:bCs/>
          <w:kern w:val="0"/>
          <w:sz w:val="23"/>
          <w:szCs w:val="23"/>
        </w:rPr>
        <w:t xml:space="preserve">     </w:t>
      </w:r>
      <w:r>
        <w:rPr>
          <w:rFonts w:hint="eastAsia" w:cs="宋体"/>
          <w:bCs/>
          <w:kern w:val="0"/>
          <w:sz w:val="23"/>
          <w:szCs w:val="23"/>
        </w:rPr>
        <w:t xml:space="preserve">   </w:t>
      </w:r>
      <w:r>
        <w:rPr>
          <w:rFonts w:cs="宋体"/>
          <w:bCs/>
          <w:kern w:val="0"/>
          <w:sz w:val="23"/>
          <w:szCs w:val="23"/>
        </w:rPr>
        <w:t xml:space="preserve">  </w:t>
      </w:r>
      <w:r>
        <w:rPr>
          <w:rFonts w:hint="eastAsia" w:cs="宋体"/>
          <w:bCs/>
          <w:kern w:val="0"/>
          <w:sz w:val="23"/>
          <w:szCs w:val="23"/>
        </w:rPr>
        <w:t xml:space="preserve">    </w:t>
      </w:r>
      <w:r>
        <w:rPr>
          <w:rFonts w:hint="eastAsia" w:cs="宋体"/>
          <w:bCs/>
          <w:kern w:val="0"/>
          <w:sz w:val="23"/>
          <w:szCs w:val="23"/>
          <w:lang w:val="en-US" w:eastAsia="zh-CN"/>
        </w:rPr>
        <w:t xml:space="preserve">             </w:t>
      </w:r>
      <w:r>
        <w:rPr>
          <w:rFonts w:hint="eastAsia" w:cs="宋体"/>
          <w:bCs/>
          <w:kern w:val="0"/>
          <w:sz w:val="23"/>
          <w:szCs w:val="23"/>
        </w:rPr>
        <w:t xml:space="preserve"> </w:t>
      </w:r>
      <w:r>
        <w:rPr>
          <w:rFonts w:hint="eastAsia" w:cs="宋体"/>
          <w:bCs/>
          <w:kern w:val="0"/>
          <w:sz w:val="23"/>
          <w:szCs w:val="23"/>
          <w:lang w:val="en-US" w:eastAsia="zh-CN"/>
        </w:rPr>
        <w:t xml:space="preserve">          </w:t>
      </w:r>
      <w:r>
        <w:rPr>
          <w:rFonts w:hint="eastAsia" w:cs="宋体"/>
          <w:bCs/>
          <w:kern w:val="0"/>
          <w:sz w:val="23"/>
          <w:szCs w:val="23"/>
        </w:rPr>
        <w:t xml:space="preserve">  </w:t>
      </w:r>
      <w:r>
        <w:rPr>
          <w:rFonts w:cs="宋体"/>
          <w:bCs/>
          <w:kern w:val="0"/>
          <w:sz w:val="23"/>
          <w:szCs w:val="23"/>
        </w:rPr>
        <w:t xml:space="preserve">  </w:t>
      </w:r>
      <w:r>
        <w:rPr>
          <w:rFonts w:hint="eastAsia" w:cs="宋体"/>
          <w:bCs/>
          <w:kern w:val="0"/>
          <w:sz w:val="23"/>
          <w:szCs w:val="23"/>
        </w:rPr>
        <w:t xml:space="preserve">    </w:t>
      </w:r>
      <w:r>
        <w:rPr>
          <w:rFonts w:cs="宋体"/>
          <w:bCs/>
          <w:kern w:val="0"/>
          <w:sz w:val="23"/>
          <w:szCs w:val="23"/>
        </w:rPr>
        <w:t xml:space="preserve">  </w:t>
      </w:r>
      <w:r>
        <w:rPr>
          <w:rFonts w:hint="eastAsia" w:cs="宋体"/>
          <w:bCs/>
          <w:kern w:val="0"/>
          <w:sz w:val="23"/>
          <w:szCs w:val="23"/>
        </w:rPr>
        <w:t>填表时间：2021年2月5日</w:t>
      </w:r>
    </w:p>
    <w:tbl>
      <w:tblPr>
        <w:tblStyle w:val="11"/>
        <w:tblW w:w="13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074"/>
        <w:gridCol w:w="2717"/>
        <w:gridCol w:w="4868"/>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704" w:type="dxa"/>
            <w:vAlign w:val="center"/>
          </w:tcPr>
          <w:p>
            <w:pPr>
              <w:jc w:val="center"/>
              <w:rPr>
                <w:rFonts w:hint="eastAsia" w:cs="宋体"/>
                <w:bCs/>
                <w:kern w:val="0"/>
                <w:sz w:val="24"/>
              </w:rPr>
            </w:pPr>
            <w:r>
              <w:rPr>
                <w:rFonts w:hint="eastAsia" w:cs="宋体"/>
                <w:bCs/>
                <w:kern w:val="0"/>
                <w:sz w:val="24"/>
              </w:rPr>
              <w:t>序号</w:t>
            </w:r>
          </w:p>
        </w:tc>
        <w:tc>
          <w:tcPr>
            <w:tcW w:w="3074" w:type="dxa"/>
            <w:vAlign w:val="center"/>
          </w:tcPr>
          <w:p>
            <w:pPr>
              <w:jc w:val="center"/>
              <w:rPr>
                <w:rFonts w:hint="eastAsia" w:cs="宋体"/>
                <w:bCs/>
                <w:kern w:val="0"/>
                <w:sz w:val="24"/>
              </w:rPr>
            </w:pPr>
            <w:r>
              <w:rPr>
                <w:rFonts w:hint="eastAsia" w:cs="宋体"/>
                <w:bCs/>
                <w:kern w:val="0"/>
                <w:sz w:val="24"/>
              </w:rPr>
              <w:t>学校名称</w:t>
            </w:r>
          </w:p>
        </w:tc>
        <w:tc>
          <w:tcPr>
            <w:tcW w:w="2717" w:type="dxa"/>
            <w:vAlign w:val="center"/>
          </w:tcPr>
          <w:p>
            <w:pPr>
              <w:jc w:val="center"/>
              <w:rPr>
                <w:rFonts w:hint="eastAsia" w:cs="宋体"/>
                <w:bCs/>
                <w:kern w:val="0"/>
                <w:sz w:val="24"/>
              </w:rPr>
            </w:pPr>
            <w:r>
              <w:rPr>
                <w:rFonts w:hint="eastAsia" w:cs="宋体"/>
                <w:bCs/>
                <w:kern w:val="0"/>
                <w:sz w:val="24"/>
              </w:rPr>
              <w:t>发布时间</w:t>
            </w:r>
          </w:p>
        </w:tc>
        <w:tc>
          <w:tcPr>
            <w:tcW w:w="4868" w:type="dxa"/>
            <w:vAlign w:val="center"/>
          </w:tcPr>
          <w:p>
            <w:pPr>
              <w:jc w:val="center"/>
              <w:rPr>
                <w:rFonts w:hint="eastAsia" w:cs="宋体"/>
                <w:bCs/>
                <w:kern w:val="0"/>
                <w:sz w:val="24"/>
              </w:rPr>
            </w:pPr>
            <w:r>
              <w:rPr>
                <w:rFonts w:hint="eastAsia" w:cs="宋体"/>
                <w:bCs/>
                <w:kern w:val="0"/>
                <w:sz w:val="24"/>
              </w:rPr>
              <w:t>发布网址</w:t>
            </w:r>
          </w:p>
        </w:tc>
        <w:tc>
          <w:tcPr>
            <w:tcW w:w="1555" w:type="dxa"/>
            <w:vAlign w:val="center"/>
          </w:tcPr>
          <w:p>
            <w:pPr>
              <w:jc w:val="center"/>
              <w:rPr>
                <w:rFonts w:hint="eastAsia" w:cs="宋体"/>
                <w:bCs/>
                <w:kern w:val="0"/>
                <w:sz w:val="24"/>
              </w:rPr>
            </w:pPr>
            <w:r>
              <w:rPr>
                <w:rFonts w:hint="eastAsia" w:cs="宋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704" w:type="dxa"/>
            <w:vAlign w:val="center"/>
          </w:tcPr>
          <w:p>
            <w:pPr>
              <w:jc w:val="center"/>
              <w:rPr>
                <w:rFonts w:hint="eastAsia" w:cs="宋体"/>
                <w:bCs/>
                <w:kern w:val="0"/>
                <w:sz w:val="24"/>
              </w:rPr>
            </w:pPr>
            <w:r>
              <w:rPr>
                <w:rFonts w:hint="eastAsia" w:cs="宋体"/>
                <w:bCs/>
                <w:kern w:val="0"/>
                <w:sz w:val="24"/>
              </w:rPr>
              <w:t>1</w:t>
            </w:r>
          </w:p>
        </w:tc>
        <w:tc>
          <w:tcPr>
            <w:tcW w:w="3074" w:type="dxa"/>
            <w:vAlign w:val="center"/>
          </w:tcPr>
          <w:p>
            <w:pPr>
              <w:jc w:val="center"/>
              <w:rPr>
                <w:rFonts w:hint="eastAsia" w:cs="宋体"/>
                <w:bCs/>
                <w:kern w:val="0"/>
                <w:sz w:val="24"/>
              </w:rPr>
            </w:pPr>
            <w:r>
              <w:rPr>
                <w:rFonts w:hint="eastAsia" w:cs="宋体"/>
                <w:bCs/>
                <w:kern w:val="0"/>
                <w:sz w:val="24"/>
              </w:rPr>
              <w:t>陕西省渭南工业学校</w:t>
            </w:r>
          </w:p>
        </w:tc>
        <w:tc>
          <w:tcPr>
            <w:tcW w:w="2717" w:type="dxa"/>
            <w:vAlign w:val="center"/>
          </w:tcPr>
          <w:p>
            <w:pPr>
              <w:jc w:val="center"/>
              <w:rPr>
                <w:rFonts w:hint="default" w:cs="宋体" w:eastAsiaTheme="minorEastAsia"/>
                <w:bCs/>
                <w:kern w:val="0"/>
                <w:sz w:val="24"/>
                <w:lang w:val="en-US" w:eastAsia="zh-CN"/>
              </w:rPr>
            </w:pPr>
            <w:r>
              <w:rPr>
                <w:rFonts w:hint="eastAsia" w:cs="宋体"/>
                <w:bCs/>
                <w:kern w:val="0"/>
                <w:sz w:val="24"/>
                <w:lang w:val="en-US" w:eastAsia="zh-CN"/>
              </w:rPr>
              <w:t>2021年2月5日</w:t>
            </w:r>
          </w:p>
        </w:tc>
        <w:tc>
          <w:tcPr>
            <w:tcW w:w="4868" w:type="dxa"/>
            <w:vAlign w:val="center"/>
          </w:tcPr>
          <w:p>
            <w:pPr>
              <w:jc w:val="center"/>
              <w:rPr>
                <w:rFonts w:hint="eastAsia" w:cs="宋体"/>
                <w:bCs/>
                <w:kern w:val="0"/>
                <w:sz w:val="24"/>
              </w:rPr>
            </w:pPr>
            <w:r>
              <w:rPr>
                <w:rFonts w:hint="eastAsia" w:cs="宋体"/>
                <w:bCs/>
                <w:kern w:val="0"/>
                <w:sz w:val="24"/>
              </w:rPr>
              <w:t>http://www.wntc.cc/infodisp.asp?id=4656</w:t>
            </w:r>
          </w:p>
        </w:tc>
        <w:tc>
          <w:tcPr>
            <w:tcW w:w="1555" w:type="dxa"/>
            <w:vAlign w:val="center"/>
          </w:tcPr>
          <w:p>
            <w:pPr>
              <w:jc w:val="center"/>
              <w:rPr>
                <w:rFonts w:hint="eastAsia"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704" w:type="dxa"/>
            <w:vAlign w:val="center"/>
          </w:tcPr>
          <w:p>
            <w:pPr>
              <w:jc w:val="center"/>
              <w:rPr>
                <w:rFonts w:hint="eastAsia" w:cs="宋体"/>
                <w:bCs/>
                <w:kern w:val="0"/>
                <w:sz w:val="24"/>
              </w:rPr>
            </w:pPr>
          </w:p>
        </w:tc>
        <w:tc>
          <w:tcPr>
            <w:tcW w:w="3074" w:type="dxa"/>
            <w:vAlign w:val="center"/>
          </w:tcPr>
          <w:p>
            <w:pPr>
              <w:jc w:val="left"/>
              <w:rPr>
                <w:rFonts w:hint="eastAsia" w:cs="宋体"/>
                <w:bCs/>
                <w:kern w:val="0"/>
                <w:sz w:val="24"/>
              </w:rPr>
            </w:pPr>
          </w:p>
        </w:tc>
        <w:tc>
          <w:tcPr>
            <w:tcW w:w="2717" w:type="dxa"/>
            <w:vAlign w:val="center"/>
          </w:tcPr>
          <w:p>
            <w:pPr>
              <w:jc w:val="center"/>
              <w:rPr>
                <w:rFonts w:hint="eastAsia" w:cs="宋体"/>
                <w:bCs/>
                <w:kern w:val="0"/>
                <w:sz w:val="24"/>
              </w:rPr>
            </w:pPr>
          </w:p>
        </w:tc>
        <w:tc>
          <w:tcPr>
            <w:tcW w:w="4868" w:type="dxa"/>
            <w:vAlign w:val="center"/>
          </w:tcPr>
          <w:p>
            <w:pPr>
              <w:spacing w:line="220" w:lineRule="atLeast"/>
              <w:jc w:val="left"/>
              <w:rPr>
                <w:rFonts w:hint="eastAsia" w:cs="宋体"/>
                <w:bCs/>
                <w:kern w:val="0"/>
                <w:sz w:val="24"/>
              </w:rPr>
            </w:pPr>
          </w:p>
        </w:tc>
        <w:tc>
          <w:tcPr>
            <w:tcW w:w="1555" w:type="dxa"/>
            <w:vAlign w:val="center"/>
          </w:tcPr>
          <w:p>
            <w:pPr>
              <w:jc w:val="center"/>
              <w:rPr>
                <w:rFonts w:hint="eastAsia" w:cs="宋体"/>
                <w:bCs/>
                <w:kern w:val="0"/>
                <w:sz w:val="24"/>
              </w:rPr>
            </w:pPr>
          </w:p>
        </w:tc>
      </w:tr>
    </w:tbl>
    <w:p>
      <w:pPr>
        <w:rPr>
          <w:rFonts w:hint="eastAsia" w:cs="宋体"/>
          <w:bCs/>
          <w:kern w:val="0"/>
          <w:szCs w:val="21"/>
        </w:rPr>
      </w:pPr>
    </w:p>
    <w:p>
      <w:pPr>
        <w:widowControl/>
        <w:jc w:val="left"/>
        <w:rPr>
          <w:rFonts w:cs="Times New Roman" w:asciiTheme="minorEastAsia" w:hAnsiTheme="minorEastAsia"/>
          <w:kern w:val="0"/>
          <w:sz w:val="32"/>
          <w:szCs w:val="32"/>
        </w:rPr>
      </w:pPr>
    </w:p>
    <w:sectPr>
      <w:pgSz w:w="16838" w:h="11906" w:orient="landscape"/>
      <w:pgMar w:top="1800" w:right="1440" w:bottom="1800"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6QK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W+kCnLAQAAnAMAAA4AAAAAAAAAAQAgAAAAHgEAAGRycy9lMm9E&#10;b2MueG1sUEsFBgAAAAAGAAYAWQEAAFsFAAAAAA==&#10;">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B5"/>
    <w:rsid w:val="00001491"/>
    <w:rsid w:val="00001631"/>
    <w:rsid w:val="00002DBA"/>
    <w:rsid w:val="00015058"/>
    <w:rsid w:val="000167A5"/>
    <w:rsid w:val="00022FFD"/>
    <w:rsid w:val="00023BBD"/>
    <w:rsid w:val="000253F6"/>
    <w:rsid w:val="000257F8"/>
    <w:rsid w:val="00031F7E"/>
    <w:rsid w:val="00036784"/>
    <w:rsid w:val="00041FA9"/>
    <w:rsid w:val="00042A19"/>
    <w:rsid w:val="0004466F"/>
    <w:rsid w:val="00044689"/>
    <w:rsid w:val="000449E6"/>
    <w:rsid w:val="000524DB"/>
    <w:rsid w:val="00053E80"/>
    <w:rsid w:val="000571A3"/>
    <w:rsid w:val="00057ED3"/>
    <w:rsid w:val="00060AE4"/>
    <w:rsid w:val="00071379"/>
    <w:rsid w:val="00073200"/>
    <w:rsid w:val="0007367A"/>
    <w:rsid w:val="0007535B"/>
    <w:rsid w:val="0008380D"/>
    <w:rsid w:val="00086E8D"/>
    <w:rsid w:val="00090BFE"/>
    <w:rsid w:val="000A42BF"/>
    <w:rsid w:val="000A4CB5"/>
    <w:rsid w:val="000A6200"/>
    <w:rsid w:val="000B43FE"/>
    <w:rsid w:val="000C07A5"/>
    <w:rsid w:val="000C09B1"/>
    <w:rsid w:val="000C4C93"/>
    <w:rsid w:val="000C632B"/>
    <w:rsid w:val="000C64DC"/>
    <w:rsid w:val="000E12B5"/>
    <w:rsid w:val="000E2A81"/>
    <w:rsid w:val="00101B78"/>
    <w:rsid w:val="001043CC"/>
    <w:rsid w:val="00120D29"/>
    <w:rsid w:val="00123F59"/>
    <w:rsid w:val="0012485A"/>
    <w:rsid w:val="00124CD4"/>
    <w:rsid w:val="001307E9"/>
    <w:rsid w:val="00142353"/>
    <w:rsid w:val="00145E00"/>
    <w:rsid w:val="00150529"/>
    <w:rsid w:val="00152CBA"/>
    <w:rsid w:val="001545EB"/>
    <w:rsid w:val="00160146"/>
    <w:rsid w:val="00166A00"/>
    <w:rsid w:val="001671C5"/>
    <w:rsid w:val="0017241F"/>
    <w:rsid w:val="001748F8"/>
    <w:rsid w:val="00180DE2"/>
    <w:rsid w:val="00186E31"/>
    <w:rsid w:val="00190949"/>
    <w:rsid w:val="00192D5A"/>
    <w:rsid w:val="001A109C"/>
    <w:rsid w:val="001A61C9"/>
    <w:rsid w:val="001A71D6"/>
    <w:rsid w:val="001B6E1D"/>
    <w:rsid w:val="001C5909"/>
    <w:rsid w:val="001C78EC"/>
    <w:rsid w:val="001D0BCB"/>
    <w:rsid w:val="001D4665"/>
    <w:rsid w:val="001E33BF"/>
    <w:rsid w:val="001E5DCD"/>
    <w:rsid w:val="001F365D"/>
    <w:rsid w:val="00203D54"/>
    <w:rsid w:val="00204299"/>
    <w:rsid w:val="00207624"/>
    <w:rsid w:val="00213CB5"/>
    <w:rsid w:val="00214244"/>
    <w:rsid w:val="00221056"/>
    <w:rsid w:val="00221221"/>
    <w:rsid w:val="00222B14"/>
    <w:rsid w:val="002248BF"/>
    <w:rsid w:val="00235845"/>
    <w:rsid w:val="00236977"/>
    <w:rsid w:val="00237D84"/>
    <w:rsid w:val="002548A6"/>
    <w:rsid w:val="00283520"/>
    <w:rsid w:val="0029097A"/>
    <w:rsid w:val="00296E9C"/>
    <w:rsid w:val="002A3738"/>
    <w:rsid w:val="002B4315"/>
    <w:rsid w:val="002B4348"/>
    <w:rsid w:val="002C0B28"/>
    <w:rsid w:val="002C25EA"/>
    <w:rsid w:val="002C2D7A"/>
    <w:rsid w:val="002C47AE"/>
    <w:rsid w:val="002D213C"/>
    <w:rsid w:val="002D5B58"/>
    <w:rsid w:val="002F2B61"/>
    <w:rsid w:val="0030539A"/>
    <w:rsid w:val="003156F0"/>
    <w:rsid w:val="003164CE"/>
    <w:rsid w:val="00322C11"/>
    <w:rsid w:val="003230FE"/>
    <w:rsid w:val="00324CB4"/>
    <w:rsid w:val="00327051"/>
    <w:rsid w:val="003300BA"/>
    <w:rsid w:val="003415B8"/>
    <w:rsid w:val="00342B5B"/>
    <w:rsid w:val="00372270"/>
    <w:rsid w:val="00381435"/>
    <w:rsid w:val="00382B17"/>
    <w:rsid w:val="00391D21"/>
    <w:rsid w:val="00393356"/>
    <w:rsid w:val="0039425B"/>
    <w:rsid w:val="003A28D0"/>
    <w:rsid w:val="003A37D8"/>
    <w:rsid w:val="003A4327"/>
    <w:rsid w:val="003B0324"/>
    <w:rsid w:val="003B1489"/>
    <w:rsid w:val="003B1658"/>
    <w:rsid w:val="003B23D0"/>
    <w:rsid w:val="003B3E84"/>
    <w:rsid w:val="003C2224"/>
    <w:rsid w:val="003C6E04"/>
    <w:rsid w:val="003D18DB"/>
    <w:rsid w:val="003D550E"/>
    <w:rsid w:val="003D7565"/>
    <w:rsid w:val="003E0754"/>
    <w:rsid w:val="003E0ACF"/>
    <w:rsid w:val="003E3324"/>
    <w:rsid w:val="003E4618"/>
    <w:rsid w:val="003E6257"/>
    <w:rsid w:val="003E717E"/>
    <w:rsid w:val="003F247F"/>
    <w:rsid w:val="00404140"/>
    <w:rsid w:val="004052F3"/>
    <w:rsid w:val="00405862"/>
    <w:rsid w:val="00405B1E"/>
    <w:rsid w:val="00410D78"/>
    <w:rsid w:val="004115E2"/>
    <w:rsid w:val="00411672"/>
    <w:rsid w:val="00413D7D"/>
    <w:rsid w:val="004224D7"/>
    <w:rsid w:val="00423C4B"/>
    <w:rsid w:val="00436944"/>
    <w:rsid w:val="00440FF7"/>
    <w:rsid w:val="00442562"/>
    <w:rsid w:val="00443828"/>
    <w:rsid w:val="004471CF"/>
    <w:rsid w:val="00453C50"/>
    <w:rsid w:val="004560E3"/>
    <w:rsid w:val="00461F64"/>
    <w:rsid w:val="00473687"/>
    <w:rsid w:val="00476203"/>
    <w:rsid w:val="00481AAA"/>
    <w:rsid w:val="0048728F"/>
    <w:rsid w:val="004961B3"/>
    <w:rsid w:val="00497AE0"/>
    <w:rsid w:val="004A0CA1"/>
    <w:rsid w:val="004A3CD2"/>
    <w:rsid w:val="004A74CE"/>
    <w:rsid w:val="004B78E2"/>
    <w:rsid w:val="004D0210"/>
    <w:rsid w:val="004E3C7A"/>
    <w:rsid w:val="004E5561"/>
    <w:rsid w:val="004E6C60"/>
    <w:rsid w:val="004E767E"/>
    <w:rsid w:val="0050559F"/>
    <w:rsid w:val="00523776"/>
    <w:rsid w:val="00535816"/>
    <w:rsid w:val="00545B01"/>
    <w:rsid w:val="0054666E"/>
    <w:rsid w:val="00551CC3"/>
    <w:rsid w:val="005547DB"/>
    <w:rsid w:val="00554917"/>
    <w:rsid w:val="0056113C"/>
    <w:rsid w:val="005647A4"/>
    <w:rsid w:val="005647CF"/>
    <w:rsid w:val="005655E8"/>
    <w:rsid w:val="00565D5C"/>
    <w:rsid w:val="005818FA"/>
    <w:rsid w:val="00584AA2"/>
    <w:rsid w:val="00590AF8"/>
    <w:rsid w:val="005A2789"/>
    <w:rsid w:val="005A3771"/>
    <w:rsid w:val="005B4016"/>
    <w:rsid w:val="005B6216"/>
    <w:rsid w:val="005C33B5"/>
    <w:rsid w:val="005D51D6"/>
    <w:rsid w:val="005E7039"/>
    <w:rsid w:val="005F3593"/>
    <w:rsid w:val="0060790B"/>
    <w:rsid w:val="00611B58"/>
    <w:rsid w:val="00611E31"/>
    <w:rsid w:val="00615788"/>
    <w:rsid w:val="00616C3D"/>
    <w:rsid w:val="006246B3"/>
    <w:rsid w:val="00631A1E"/>
    <w:rsid w:val="00636A56"/>
    <w:rsid w:val="00637510"/>
    <w:rsid w:val="00637736"/>
    <w:rsid w:val="00637FCE"/>
    <w:rsid w:val="006462E6"/>
    <w:rsid w:val="006470E5"/>
    <w:rsid w:val="006671F1"/>
    <w:rsid w:val="00680F7A"/>
    <w:rsid w:val="00685C27"/>
    <w:rsid w:val="00687AAB"/>
    <w:rsid w:val="00690B8D"/>
    <w:rsid w:val="00695B34"/>
    <w:rsid w:val="00696D09"/>
    <w:rsid w:val="006A3CCA"/>
    <w:rsid w:val="006A47A6"/>
    <w:rsid w:val="006B1B64"/>
    <w:rsid w:val="006B6AF6"/>
    <w:rsid w:val="006C45DF"/>
    <w:rsid w:val="006C7DC0"/>
    <w:rsid w:val="006F737B"/>
    <w:rsid w:val="00701DD0"/>
    <w:rsid w:val="007037B1"/>
    <w:rsid w:val="00705F57"/>
    <w:rsid w:val="00710688"/>
    <w:rsid w:val="007426C1"/>
    <w:rsid w:val="00747287"/>
    <w:rsid w:val="007506EC"/>
    <w:rsid w:val="00753D0A"/>
    <w:rsid w:val="007554BD"/>
    <w:rsid w:val="00761B81"/>
    <w:rsid w:val="0077606A"/>
    <w:rsid w:val="007765AE"/>
    <w:rsid w:val="00781FC7"/>
    <w:rsid w:val="00791949"/>
    <w:rsid w:val="007920D2"/>
    <w:rsid w:val="00795A14"/>
    <w:rsid w:val="007A256C"/>
    <w:rsid w:val="007B007E"/>
    <w:rsid w:val="007B26A1"/>
    <w:rsid w:val="007B35E9"/>
    <w:rsid w:val="007B3E48"/>
    <w:rsid w:val="007B79FD"/>
    <w:rsid w:val="007C067B"/>
    <w:rsid w:val="007C0E51"/>
    <w:rsid w:val="007C4998"/>
    <w:rsid w:val="007D6AC3"/>
    <w:rsid w:val="007E7D2C"/>
    <w:rsid w:val="007F2AB4"/>
    <w:rsid w:val="007F2BBE"/>
    <w:rsid w:val="007F32F2"/>
    <w:rsid w:val="007F46D5"/>
    <w:rsid w:val="007F531C"/>
    <w:rsid w:val="00804EB4"/>
    <w:rsid w:val="0080724D"/>
    <w:rsid w:val="00807A4E"/>
    <w:rsid w:val="00811491"/>
    <w:rsid w:val="008214AE"/>
    <w:rsid w:val="00821FFD"/>
    <w:rsid w:val="00827994"/>
    <w:rsid w:val="00830532"/>
    <w:rsid w:val="00831D19"/>
    <w:rsid w:val="0083415B"/>
    <w:rsid w:val="008351ED"/>
    <w:rsid w:val="00850890"/>
    <w:rsid w:val="0085438C"/>
    <w:rsid w:val="0085646F"/>
    <w:rsid w:val="0086308C"/>
    <w:rsid w:val="00871665"/>
    <w:rsid w:val="008815EC"/>
    <w:rsid w:val="008827F8"/>
    <w:rsid w:val="00893047"/>
    <w:rsid w:val="00893BD4"/>
    <w:rsid w:val="00893BD9"/>
    <w:rsid w:val="00895DB8"/>
    <w:rsid w:val="00896194"/>
    <w:rsid w:val="008A1560"/>
    <w:rsid w:val="008B04C7"/>
    <w:rsid w:val="008B129D"/>
    <w:rsid w:val="008B79E8"/>
    <w:rsid w:val="008E61A6"/>
    <w:rsid w:val="008F4176"/>
    <w:rsid w:val="008F7020"/>
    <w:rsid w:val="008F735B"/>
    <w:rsid w:val="0090564B"/>
    <w:rsid w:val="00905F50"/>
    <w:rsid w:val="009079AD"/>
    <w:rsid w:val="00911E52"/>
    <w:rsid w:val="0092654D"/>
    <w:rsid w:val="009312D1"/>
    <w:rsid w:val="00934606"/>
    <w:rsid w:val="00937985"/>
    <w:rsid w:val="00944456"/>
    <w:rsid w:val="00947094"/>
    <w:rsid w:val="00952BF2"/>
    <w:rsid w:val="0095485D"/>
    <w:rsid w:val="00954FB5"/>
    <w:rsid w:val="00961053"/>
    <w:rsid w:val="00966339"/>
    <w:rsid w:val="00967B2F"/>
    <w:rsid w:val="00974709"/>
    <w:rsid w:val="00986522"/>
    <w:rsid w:val="009873BF"/>
    <w:rsid w:val="0099070E"/>
    <w:rsid w:val="009913F1"/>
    <w:rsid w:val="0099385C"/>
    <w:rsid w:val="009A1621"/>
    <w:rsid w:val="009A1A1F"/>
    <w:rsid w:val="009A4331"/>
    <w:rsid w:val="009B4843"/>
    <w:rsid w:val="009B4C0A"/>
    <w:rsid w:val="009C0986"/>
    <w:rsid w:val="009C1855"/>
    <w:rsid w:val="009D3013"/>
    <w:rsid w:val="009D34F0"/>
    <w:rsid w:val="009D40D4"/>
    <w:rsid w:val="009D43EC"/>
    <w:rsid w:val="009D6125"/>
    <w:rsid w:val="009D6ACE"/>
    <w:rsid w:val="009E15BF"/>
    <w:rsid w:val="009E25FD"/>
    <w:rsid w:val="009F4AF9"/>
    <w:rsid w:val="009F63C2"/>
    <w:rsid w:val="00A0492F"/>
    <w:rsid w:val="00A16B89"/>
    <w:rsid w:val="00A35B0C"/>
    <w:rsid w:val="00A420B6"/>
    <w:rsid w:val="00A42550"/>
    <w:rsid w:val="00A42CD2"/>
    <w:rsid w:val="00A44D52"/>
    <w:rsid w:val="00A4795C"/>
    <w:rsid w:val="00A57096"/>
    <w:rsid w:val="00A62067"/>
    <w:rsid w:val="00A676A3"/>
    <w:rsid w:val="00A724A1"/>
    <w:rsid w:val="00A758E8"/>
    <w:rsid w:val="00A825EE"/>
    <w:rsid w:val="00A8321A"/>
    <w:rsid w:val="00A834CD"/>
    <w:rsid w:val="00A8413F"/>
    <w:rsid w:val="00AA63AF"/>
    <w:rsid w:val="00AB5DE9"/>
    <w:rsid w:val="00AB7C93"/>
    <w:rsid w:val="00AC60BC"/>
    <w:rsid w:val="00AD021F"/>
    <w:rsid w:val="00AD2366"/>
    <w:rsid w:val="00AD5C49"/>
    <w:rsid w:val="00AE409B"/>
    <w:rsid w:val="00AE5E30"/>
    <w:rsid w:val="00AE6BDD"/>
    <w:rsid w:val="00AF1991"/>
    <w:rsid w:val="00AF2508"/>
    <w:rsid w:val="00AF799F"/>
    <w:rsid w:val="00B00C70"/>
    <w:rsid w:val="00B0354C"/>
    <w:rsid w:val="00B05490"/>
    <w:rsid w:val="00B07224"/>
    <w:rsid w:val="00B20E7D"/>
    <w:rsid w:val="00B23705"/>
    <w:rsid w:val="00B24474"/>
    <w:rsid w:val="00B26B59"/>
    <w:rsid w:val="00B43077"/>
    <w:rsid w:val="00B51D68"/>
    <w:rsid w:val="00B5329B"/>
    <w:rsid w:val="00B56E31"/>
    <w:rsid w:val="00B57F4E"/>
    <w:rsid w:val="00B6585F"/>
    <w:rsid w:val="00B679BC"/>
    <w:rsid w:val="00B735D9"/>
    <w:rsid w:val="00B77D1E"/>
    <w:rsid w:val="00B77E83"/>
    <w:rsid w:val="00B83348"/>
    <w:rsid w:val="00B8389E"/>
    <w:rsid w:val="00B91ADE"/>
    <w:rsid w:val="00B92E7E"/>
    <w:rsid w:val="00BB0176"/>
    <w:rsid w:val="00BB1735"/>
    <w:rsid w:val="00BB587F"/>
    <w:rsid w:val="00BC5A1C"/>
    <w:rsid w:val="00BD6045"/>
    <w:rsid w:val="00BD66D7"/>
    <w:rsid w:val="00BE1CC0"/>
    <w:rsid w:val="00BF3798"/>
    <w:rsid w:val="00C12C42"/>
    <w:rsid w:val="00C13A83"/>
    <w:rsid w:val="00C13ADF"/>
    <w:rsid w:val="00C15987"/>
    <w:rsid w:val="00C27235"/>
    <w:rsid w:val="00C30AC0"/>
    <w:rsid w:val="00C352CF"/>
    <w:rsid w:val="00C35A94"/>
    <w:rsid w:val="00C40A2D"/>
    <w:rsid w:val="00C42734"/>
    <w:rsid w:val="00C44602"/>
    <w:rsid w:val="00C534B1"/>
    <w:rsid w:val="00C53E87"/>
    <w:rsid w:val="00C54838"/>
    <w:rsid w:val="00C57687"/>
    <w:rsid w:val="00C62287"/>
    <w:rsid w:val="00C701F5"/>
    <w:rsid w:val="00C74CEB"/>
    <w:rsid w:val="00C764D7"/>
    <w:rsid w:val="00C779B5"/>
    <w:rsid w:val="00C84F34"/>
    <w:rsid w:val="00C850E5"/>
    <w:rsid w:val="00C87D77"/>
    <w:rsid w:val="00C92F15"/>
    <w:rsid w:val="00CB602A"/>
    <w:rsid w:val="00CC33A8"/>
    <w:rsid w:val="00CC3A82"/>
    <w:rsid w:val="00CC3C0A"/>
    <w:rsid w:val="00CC412D"/>
    <w:rsid w:val="00CD041F"/>
    <w:rsid w:val="00CD1BE0"/>
    <w:rsid w:val="00CD2251"/>
    <w:rsid w:val="00CE4001"/>
    <w:rsid w:val="00CE4E85"/>
    <w:rsid w:val="00CE7FD9"/>
    <w:rsid w:val="00CF11A9"/>
    <w:rsid w:val="00CF5C11"/>
    <w:rsid w:val="00D00BC6"/>
    <w:rsid w:val="00D029C0"/>
    <w:rsid w:val="00D07D15"/>
    <w:rsid w:val="00D14544"/>
    <w:rsid w:val="00D21A52"/>
    <w:rsid w:val="00D40C63"/>
    <w:rsid w:val="00D4514E"/>
    <w:rsid w:val="00D46A62"/>
    <w:rsid w:val="00D50405"/>
    <w:rsid w:val="00D57927"/>
    <w:rsid w:val="00D646BF"/>
    <w:rsid w:val="00D72A48"/>
    <w:rsid w:val="00D745C4"/>
    <w:rsid w:val="00D83BF8"/>
    <w:rsid w:val="00D8560E"/>
    <w:rsid w:val="00D962E9"/>
    <w:rsid w:val="00DA2F22"/>
    <w:rsid w:val="00DA53A4"/>
    <w:rsid w:val="00DB0522"/>
    <w:rsid w:val="00DB0E73"/>
    <w:rsid w:val="00DC548A"/>
    <w:rsid w:val="00DC6178"/>
    <w:rsid w:val="00DF01B5"/>
    <w:rsid w:val="00DF172A"/>
    <w:rsid w:val="00E124A3"/>
    <w:rsid w:val="00E12947"/>
    <w:rsid w:val="00E13FBB"/>
    <w:rsid w:val="00E17BE0"/>
    <w:rsid w:val="00E2510E"/>
    <w:rsid w:val="00E25D7D"/>
    <w:rsid w:val="00E3007E"/>
    <w:rsid w:val="00E345AC"/>
    <w:rsid w:val="00E3547B"/>
    <w:rsid w:val="00E41963"/>
    <w:rsid w:val="00E42FF3"/>
    <w:rsid w:val="00E444FE"/>
    <w:rsid w:val="00E50C6C"/>
    <w:rsid w:val="00E54D5F"/>
    <w:rsid w:val="00E56D7B"/>
    <w:rsid w:val="00E57A1D"/>
    <w:rsid w:val="00E64C23"/>
    <w:rsid w:val="00E7127A"/>
    <w:rsid w:val="00E829A1"/>
    <w:rsid w:val="00E82B3E"/>
    <w:rsid w:val="00E87A29"/>
    <w:rsid w:val="00E958CE"/>
    <w:rsid w:val="00EB6734"/>
    <w:rsid w:val="00EB6ED8"/>
    <w:rsid w:val="00EC1FCE"/>
    <w:rsid w:val="00ED54BE"/>
    <w:rsid w:val="00ED751A"/>
    <w:rsid w:val="00EF6530"/>
    <w:rsid w:val="00F35354"/>
    <w:rsid w:val="00F41ABE"/>
    <w:rsid w:val="00F44EE6"/>
    <w:rsid w:val="00F535B8"/>
    <w:rsid w:val="00F55E69"/>
    <w:rsid w:val="00F67A59"/>
    <w:rsid w:val="00F7619A"/>
    <w:rsid w:val="00F814B8"/>
    <w:rsid w:val="00F82E7E"/>
    <w:rsid w:val="00F921C4"/>
    <w:rsid w:val="00F956F9"/>
    <w:rsid w:val="00FA2D7E"/>
    <w:rsid w:val="00FA558A"/>
    <w:rsid w:val="00FA69DE"/>
    <w:rsid w:val="00FB4E95"/>
    <w:rsid w:val="00FD22D7"/>
    <w:rsid w:val="00FD5629"/>
    <w:rsid w:val="00FD666B"/>
    <w:rsid w:val="00FE20A1"/>
    <w:rsid w:val="00FF7897"/>
    <w:rsid w:val="060B74A0"/>
    <w:rsid w:val="0EEC23DF"/>
    <w:rsid w:val="1E90656E"/>
    <w:rsid w:val="34513162"/>
    <w:rsid w:val="483833A3"/>
    <w:rsid w:val="489455A3"/>
    <w:rsid w:val="52A410B2"/>
    <w:rsid w:val="63513D1B"/>
    <w:rsid w:val="695E5A25"/>
    <w:rsid w:val="6ABB10F4"/>
    <w:rsid w:val="79F97E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2"/>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annotation text"/>
    <w:basedOn w:val="1"/>
    <w:link w:val="19"/>
    <w:semiHidden/>
    <w:unhideWhenUsed/>
    <w:qFormat/>
    <w:uiPriority w:val="0"/>
    <w:pPr>
      <w:jc w:val="left"/>
    </w:pPr>
  </w:style>
  <w:style w:type="paragraph" w:styleId="5">
    <w:name w:val="Date"/>
    <w:basedOn w:val="1"/>
    <w:next w:val="1"/>
    <w:link w:val="18"/>
    <w:semiHidden/>
    <w:unhideWhenUsed/>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ascii="Calibri" w:hAnsi="Calibri" w:eastAsia="宋体" w:cs="Times New Roman"/>
      <w:kern w:val="0"/>
      <w:sz w:val="24"/>
      <w:szCs w:val="24"/>
    </w:rPr>
  </w:style>
  <w:style w:type="paragraph" w:styleId="10">
    <w:name w:val="annotation subject"/>
    <w:basedOn w:val="4"/>
    <w:next w:val="4"/>
    <w:link w:val="20"/>
    <w:semiHidden/>
    <w:unhideWhenUsed/>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qFormat/>
    <w:uiPriority w:val="0"/>
  </w:style>
  <w:style w:type="character" w:styleId="15">
    <w:name w:val="Emphasis"/>
    <w:basedOn w:val="13"/>
    <w:qFormat/>
    <w:uiPriority w:val="20"/>
    <w:rPr>
      <w:i/>
      <w:iCs/>
    </w:rPr>
  </w:style>
  <w:style w:type="character" w:styleId="16">
    <w:name w:val="Hyperlink"/>
    <w:basedOn w:val="13"/>
    <w:semiHidden/>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日期 Char"/>
    <w:basedOn w:val="13"/>
    <w:link w:val="5"/>
    <w:semiHidden/>
    <w:qFormat/>
    <w:uiPriority w:val="99"/>
  </w:style>
  <w:style w:type="character" w:customStyle="1" w:styleId="19">
    <w:name w:val="批注文字 Char"/>
    <w:basedOn w:val="13"/>
    <w:link w:val="4"/>
    <w:semiHidden/>
    <w:qFormat/>
    <w:uiPriority w:val="0"/>
  </w:style>
  <w:style w:type="character" w:customStyle="1" w:styleId="20">
    <w:name w:val="批注主题 Char"/>
    <w:basedOn w:val="19"/>
    <w:link w:val="10"/>
    <w:semiHidden/>
    <w:qFormat/>
    <w:uiPriority w:val="99"/>
    <w:rPr>
      <w:b/>
      <w:bCs/>
    </w:rPr>
  </w:style>
  <w:style w:type="character" w:customStyle="1" w:styleId="21">
    <w:name w:val="批注框文本 Char"/>
    <w:basedOn w:val="13"/>
    <w:link w:val="6"/>
    <w:semiHidden/>
    <w:qFormat/>
    <w:uiPriority w:val="99"/>
    <w:rPr>
      <w:sz w:val="18"/>
      <w:szCs w:val="18"/>
    </w:rPr>
  </w:style>
  <w:style w:type="character" w:customStyle="1" w:styleId="22">
    <w:name w:val="标题 2 Char"/>
    <w:basedOn w:val="13"/>
    <w:link w:val="2"/>
    <w:qFormat/>
    <w:uiPriority w:val="9"/>
    <w:rPr>
      <w:rFonts w:ascii="Cambria" w:hAnsi="Cambria" w:eastAsia="宋体" w:cs="Times New Roman"/>
      <w:b/>
      <w:bCs/>
      <w:sz w:val="32"/>
      <w:szCs w:val="32"/>
    </w:rPr>
  </w:style>
  <w:style w:type="character" w:customStyle="1" w:styleId="23">
    <w:name w:val="页眉 Char"/>
    <w:basedOn w:val="13"/>
    <w:link w:val="8"/>
    <w:semiHidden/>
    <w:qFormat/>
    <w:uiPriority w:val="99"/>
    <w:rPr>
      <w:sz w:val="18"/>
      <w:szCs w:val="18"/>
    </w:rPr>
  </w:style>
  <w:style w:type="character" w:customStyle="1" w:styleId="24">
    <w:name w:val="页脚 Char"/>
    <w:basedOn w:val="13"/>
    <w:link w:val="7"/>
    <w:qFormat/>
    <w:uiPriority w:val="99"/>
    <w:rPr>
      <w:sz w:val="18"/>
      <w:szCs w:val="18"/>
    </w:rPr>
  </w:style>
  <w:style w:type="paragraph" w:styleId="25">
    <w:name w:val="List Paragraph"/>
    <w:basedOn w:val="1"/>
    <w:qFormat/>
    <w:uiPriority w:val="34"/>
    <w:pPr>
      <w:ind w:firstLine="420" w:firstLineChars="200"/>
    </w:pPr>
    <w:rPr>
      <w:rFonts w:ascii="等线" w:hAnsi="等线" w:eastAsia="等线"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987BF-C26A-4D87-B068-4FDFF9C6EA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2872</Words>
  <Characters>16373</Characters>
  <Lines>136</Lines>
  <Paragraphs>38</Paragraphs>
  <TotalTime>1</TotalTime>
  <ScaleCrop>false</ScaleCrop>
  <LinksUpToDate>false</LinksUpToDate>
  <CharactersWithSpaces>19207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2021-01-04T00:45:00Z</dcterms:created>
  <dc:creator>zhongzhi</dc:creator>
  <cp:lastModifiedBy>Administrator</cp:lastModifiedBy>
  <cp:lastPrinted>2021-01-12T01:09:00Z</cp:lastPrinted>
  <dcterms:modified xsi:type="dcterms:W3CDTF">2021-02-25T06:21:17Z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